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E31B3">
      <w:pPr>
        <w:pStyle w:val="3"/>
        <w:keepNext w:val="0"/>
        <w:keepLines w:val="0"/>
        <w:widowControl/>
        <w:shd w:val="clear" w:color="auto" w:fill="FFFFFF"/>
        <w:spacing w:before="0" w:after="120" w:line="240" w:lineRule="auto"/>
        <w:jc w:val="center"/>
        <w:rPr>
          <w:rFonts w:ascii="楷体_GB2312" w:hAnsi="楷体_GB2312" w:eastAsia="楷体_GB2312" w:cs="楷体_GB2312"/>
          <w:bCs w:val="0"/>
          <w:color w:val="auto"/>
          <w:spacing w:val="8"/>
          <w:kern w:val="0"/>
          <w:shd w:val="clear" w:color="auto" w:fill="FFFFFF"/>
        </w:rPr>
      </w:pPr>
      <w:bookmarkStart w:id="0" w:name="_Hlk100695397"/>
      <w:bookmarkEnd w:id="0"/>
      <w:r>
        <w:rPr>
          <w:rFonts w:hint="eastAsia" w:ascii="楷体_GB2312" w:hAnsi="楷体_GB2312" w:eastAsia="楷体_GB2312" w:cs="楷体_GB2312"/>
          <w:bCs w:val="0"/>
          <w:color w:val="auto"/>
          <w:spacing w:val="8"/>
          <w:kern w:val="0"/>
          <w:shd w:val="clear" w:color="auto" w:fill="FFFFFF"/>
        </w:rPr>
        <w:t>针灸推拿专业深度解读</w:t>
      </w:r>
    </w:p>
    <w:p w14:paraId="0554EF3E">
      <w:pPr>
        <w:spacing w:line="360" w:lineRule="auto"/>
        <w:rPr>
          <w:rFonts w:asciiTheme="minorEastAsia" w:hAnsiTheme="minorEastAsia" w:eastAsiaTheme="minorEastAsia"/>
          <w:color w:val="auto"/>
          <w:sz w:val="24"/>
        </w:rPr>
      </w:pPr>
    </w:p>
    <w:p w14:paraId="627282A5">
      <w:pPr>
        <w:widowControl/>
        <w:numPr>
          <w:ilvl w:val="0"/>
          <w:numId w:val="1"/>
        </w:numPr>
        <w:spacing w:line="360" w:lineRule="auto"/>
        <w:jc w:val="left"/>
        <w:rPr>
          <w:rStyle w:val="9"/>
          <w:rFonts w:ascii="楷体_GB2312" w:hAnsi="楷体_GB2312" w:eastAsia="楷体_GB2312" w:cs="楷体_GB2312"/>
          <w:bCs/>
          <w:color w:val="auto"/>
          <w:spacing w:val="8"/>
          <w:kern w:val="0"/>
          <w:sz w:val="24"/>
          <w:shd w:val="clear" w:color="auto" w:fill="FFFFFF"/>
          <w:lang w:bidi="ar"/>
        </w:rPr>
      </w:pPr>
      <w:r>
        <w:rPr>
          <w:rStyle w:val="9"/>
          <w:rFonts w:hint="eastAsia" w:ascii="楷体_GB2312" w:hAnsi="楷体_GB2312" w:eastAsia="楷体_GB2312" w:cs="楷体_GB2312"/>
          <w:bCs/>
          <w:color w:val="auto"/>
          <w:spacing w:val="8"/>
          <w:kern w:val="0"/>
          <w:sz w:val="24"/>
          <w:shd w:val="clear" w:color="auto" w:fill="FFFFFF"/>
          <w:lang w:bidi="ar"/>
        </w:rPr>
        <w:t>培养目标</w:t>
      </w:r>
    </w:p>
    <w:p w14:paraId="2667C9CA">
      <w:pPr>
        <w:widowControl/>
        <w:spacing w:line="360" w:lineRule="auto"/>
        <w:ind w:firstLine="480" w:firstLineChars="200"/>
        <w:jc w:val="left"/>
        <w:rPr>
          <w:rFonts w:ascii="楷体" w:hAnsi="楷体" w:eastAsia="楷体" w:cs="楷体"/>
          <w:color w:val="auto"/>
          <w:sz w:val="24"/>
        </w:rPr>
      </w:pPr>
      <w:r>
        <w:rPr>
          <w:rFonts w:hint="eastAsia" w:ascii="楷体" w:hAnsi="楷体" w:eastAsia="楷体" w:cs="楷体"/>
          <w:color w:val="auto"/>
          <w:sz w:val="24"/>
        </w:rPr>
        <w:t xml:space="preserve">本专业培养德、智、体、美、劳全面发展，具有良好职业道德和人文素养，掌握针灸推拿的基本知识、专业理论和实践技能，具备运用中医针灸推拿诊疗各科疾病及康复保健的实际工作能力，从事医疗、预防、康复和养生保健服务工作的高素质实用型医学专门人才。本专业培养能够践行社会主义核心价值观，传承技能文明，德智体美劳全面发展，具有一定的科学文化水平，良好的人文素养、科学素养、数字素养、职业道德、创新意识，救死扶伤的职业精神，较强的就业创业能力和可持续发展的能力，掌握本专业知识和技术技能，具备职业综合素质和行动能力，面向卫生行业的针灸医师、中医推拿医师等职业，能够从事针灸、推拿、刮痧、理疗等工作的高技能人才。 </w:t>
      </w:r>
    </w:p>
    <w:p w14:paraId="7D029B55">
      <w:pPr>
        <w:widowControl/>
        <w:numPr>
          <w:ilvl w:val="0"/>
          <w:numId w:val="1"/>
        </w:numPr>
        <w:spacing w:line="360" w:lineRule="auto"/>
        <w:jc w:val="left"/>
        <w:rPr>
          <w:rStyle w:val="9"/>
          <w:rFonts w:ascii="楷体_GB2312" w:hAnsi="楷体_GB2312" w:eastAsia="楷体_GB2312" w:cs="楷体_GB2312"/>
          <w:bCs/>
          <w:color w:val="auto"/>
          <w:spacing w:val="8"/>
          <w:kern w:val="0"/>
          <w:sz w:val="24"/>
          <w:shd w:val="clear" w:color="auto" w:fill="FFFFFF"/>
          <w:lang w:bidi="ar"/>
        </w:rPr>
      </w:pPr>
      <w:r>
        <w:rPr>
          <w:rStyle w:val="9"/>
          <w:rFonts w:hint="eastAsia" w:ascii="楷体_GB2312" w:hAnsi="楷体_GB2312" w:eastAsia="楷体_GB2312" w:cs="楷体_GB2312"/>
          <w:bCs/>
          <w:color w:val="auto"/>
          <w:spacing w:val="8"/>
          <w:kern w:val="0"/>
          <w:sz w:val="24"/>
          <w:shd w:val="clear" w:color="auto" w:fill="FFFFFF"/>
          <w:lang w:bidi="ar"/>
        </w:rPr>
        <w:t>师资力量</w:t>
      </w:r>
    </w:p>
    <w:p w14:paraId="20E16207">
      <w:pPr>
        <w:pStyle w:val="6"/>
        <w:widowControl/>
        <w:spacing w:beforeAutospacing="0" w:afterAutospacing="0" w:line="360" w:lineRule="auto"/>
        <w:ind w:firstLine="480" w:firstLineChars="200"/>
        <w:jc w:val="both"/>
        <w:rPr>
          <w:rFonts w:hint="eastAsia" w:ascii="楷体" w:hAnsi="楷体" w:eastAsia="楷体" w:cs="楷体"/>
          <w:color w:val="auto"/>
          <w:kern w:val="2"/>
        </w:rPr>
      </w:pPr>
      <w:r>
        <w:rPr>
          <w:rFonts w:hint="eastAsia" w:ascii="楷体" w:hAnsi="楷体" w:eastAsia="楷体" w:cs="楷体"/>
          <w:color w:val="auto"/>
          <w:kern w:val="2"/>
        </w:rPr>
        <w:t>现有专兼职教师85人，其中高级职称33人、中级职称36人，双师型教师72人，占比85%，形成了一支师资力量雄厚、结构合理、年轻精干、富有激情活力的教学团队。主持并参与各级科研课题40余项，获成果奖近10项；多人次参编国家“十三五”等规划教材近90部，发表论文80余篇，其中SCI论文8篇。</w:t>
      </w:r>
    </w:p>
    <w:p w14:paraId="3B366FB5">
      <w:pPr>
        <w:widowControl/>
        <w:spacing w:line="360" w:lineRule="auto"/>
        <w:jc w:val="left"/>
        <w:rPr>
          <w:rFonts w:asciiTheme="minorEastAsia" w:hAnsiTheme="minorEastAsia" w:eastAsiaTheme="minorEastAsia"/>
          <w:color w:val="auto"/>
          <w:sz w:val="24"/>
        </w:rPr>
      </w:pPr>
      <w:bookmarkStart w:id="1" w:name="_Toc35344994"/>
      <w:r>
        <w:rPr>
          <w:rStyle w:val="9"/>
          <w:rFonts w:hint="eastAsia" w:ascii="楷体_GB2312" w:hAnsi="楷体_GB2312" w:eastAsia="楷体_GB2312" w:cs="楷体_GB2312"/>
          <w:bCs/>
          <w:color w:val="auto"/>
          <w:spacing w:val="8"/>
          <w:kern w:val="0"/>
          <w:sz w:val="24"/>
          <w:shd w:val="clear" w:color="auto" w:fill="FFFFFF"/>
          <w:lang w:bidi="ar"/>
        </w:rPr>
        <w:t>三、专业特色</w:t>
      </w:r>
      <w:bookmarkEnd w:id="1"/>
    </w:p>
    <w:p w14:paraId="399CB53E">
      <w:pPr>
        <w:widowControl/>
        <w:spacing w:line="360" w:lineRule="auto"/>
        <w:ind w:firstLine="480" w:firstLineChars="200"/>
        <w:jc w:val="left"/>
        <w:rPr>
          <w:rFonts w:ascii="楷体" w:hAnsi="楷体" w:eastAsia="楷体" w:cs="楷体"/>
          <w:color w:val="auto"/>
          <w:sz w:val="24"/>
        </w:rPr>
      </w:pPr>
      <w:r>
        <w:rPr>
          <w:rFonts w:hint="eastAsia" w:ascii="楷体" w:hAnsi="楷体" w:eastAsia="楷体" w:cs="楷体"/>
          <w:color w:val="auto"/>
          <w:sz w:val="24"/>
        </w:rPr>
        <w:t>我院针灸推拿专业以“德技并修、立德树人”为导向，致力于培养掌握针灸推拿专业知识和技术技能，德、智、体、美、劳全面发展的高素质技术技能人才。</w:t>
      </w:r>
      <w:r>
        <w:rPr>
          <w:rFonts w:hint="eastAsia" w:ascii="楷体" w:hAnsi="楷体" w:eastAsia="楷体" w:cs="宋体"/>
          <w:color w:val="auto"/>
          <w:kern w:val="0"/>
          <w:sz w:val="24"/>
        </w:rPr>
        <w:t>打造出“教、学、做、训、赛、创、研、服”八位一体的专业人才培养模式，突出“做中学、做中教”的职业教育教学特色，将学生的自主学习、合作学习和教师引导教学有机结合，开展以基层社区-养老院-医院为中心的多种社会服务，提升学生实践能力与服务意识，利用名医名师工作室、校企共建实训室、创新创业孵化基地、中医康复保健服务中心等校企合作交流平台，实现专业的多元化建设。</w:t>
      </w:r>
    </w:p>
    <w:p w14:paraId="4BE8722D">
      <w:pPr>
        <w:spacing w:line="360" w:lineRule="auto"/>
      </w:pPr>
      <w:r>
        <w:drawing>
          <wp:inline distT="0" distB="0" distL="114300" distR="114300">
            <wp:extent cx="5269230" cy="225996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259965"/>
                    </a:xfrm>
                    <a:prstGeom prst="rect">
                      <a:avLst/>
                    </a:prstGeom>
                    <a:noFill/>
                    <a:ln>
                      <a:noFill/>
                    </a:ln>
                  </pic:spPr>
                </pic:pic>
              </a:graphicData>
            </a:graphic>
          </wp:inline>
        </w:drawing>
      </w:r>
    </w:p>
    <w:p w14:paraId="049A49B1">
      <w:pPr>
        <w:spacing w:line="360" w:lineRule="auto"/>
      </w:pPr>
      <w:r>
        <w:drawing>
          <wp:inline distT="0" distB="0" distL="114300" distR="114300">
            <wp:extent cx="5273675" cy="2719705"/>
            <wp:effectExtent l="0" t="0" r="14605"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73675" cy="2719705"/>
                    </a:xfrm>
                    <a:prstGeom prst="rect">
                      <a:avLst/>
                    </a:prstGeom>
                    <a:noFill/>
                    <a:ln>
                      <a:noFill/>
                    </a:ln>
                  </pic:spPr>
                </pic:pic>
              </a:graphicData>
            </a:graphic>
          </wp:inline>
        </w:drawing>
      </w:r>
      <w:bookmarkStart w:id="11" w:name="_GoBack"/>
      <w:bookmarkEnd w:id="11"/>
    </w:p>
    <w:p w14:paraId="12D734D2">
      <w:pPr>
        <w:spacing w:line="360" w:lineRule="auto"/>
        <w:rPr>
          <w:rFonts w:asciiTheme="minorEastAsia" w:hAnsiTheme="minorEastAsia" w:eastAsiaTheme="minorEastAsia"/>
          <w:color w:val="auto"/>
          <w:sz w:val="24"/>
        </w:rPr>
      </w:pPr>
    </w:p>
    <w:p w14:paraId="5387EA36">
      <w:pPr>
        <w:spacing w:line="360" w:lineRule="auto"/>
        <w:rPr>
          <w:rStyle w:val="9"/>
          <w:rFonts w:ascii="楷体_GB2312" w:hAnsi="楷体_GB2312" w:eastAsia="楷体_GB2312" w:cs="楷体_GB2312"/>
          <w:bCs/>
          <w:color w:val="auto"/>
          <w:spacing w:val="8"/>
          <w:kern w:val="0"/>
          <w:sz w:val="24"/>
          <w:shd w:val="clear" w:color="auto" w:fill="FFFFFF"/>
          <w:lang w:bidi="ar"/>
        </w:rPr>
      </w:pPr>
      <w:r>
        <w:rPr>
          <w:rStyle w:val="9"/>
          <w:rFonts w:hint="eastAsia" w:ascii="楷体_GB2312" w:hAnsi="楷体_GB2312" w:eastAsia="楷体_GB2312" w:cs="楷体_GB2312"/>
          <w:bCs/>
          <w:color w:val="auto"/>
          <w:spacing w:val="8"/>
          <w:kern w:val="0"/>
          <w:sz w:val="24"/>
          <w:shd w:val="clear" w:color="auto" w:fill="FFFFFF"/>
          <w:lang w:bidi="ar"/>
        </w:rPr>
        <w:t>四、课程设置及考取证书情况</w:t>
      </w:r>
    </w:p>
    <w:p w14:paraId="2BD62A29">
      <w:pPr>
        <w:pStyle w:val="6"/>
        <w:widowControl/>
        <w:numPr>
          <w:ilvl w:val="0"/>
          <w:numId w:val="0"/>
        </w:numPr>
        <w:spacing w:beforeAutospacing="0" w:afterAutospacing="0" w:line="360" w:lineRule="auto"/>
        <w:ind w:firstLine="482" w:firstLineChars="200"/>
        <w:jc w:val="both"/>
        <w:rPr>
          <w:rFonts w:hint="eastAsia" w:ascii="楷体" w:hAnsi="楷体" w:eastAsia="楷体" w:cs="楷体"/>
          <w:b/>
          <w:bCs/>
          <w:color w:val="auto"/>
          <w:kern w:val="2"/>
        </w:rPr>
      </w:pPr>
      <w:r>
        <w:rPr>
          <w:rFonts w:hint="eastAsia" w:ascii="楷体" w:hAnsi="楷体" w:eastAsia="楷体" w:cs="楷体"/>
          <w:b/>
          <w:bCs/>
          <w:color w:val="auto"/>
          <w:kern w:val="2"/>
          <w:lang w:val="en-US" w:eastAsia="zh-CN"/>
        </w:rPr>
        <w:t>1.</w:t>
      </w:r>
      <w:r>
        <w:rPr>
          <w:rFonts w:hint="eastAsia" w:ascii="楷体" w:hAnsi="楷体" w:eastAsia="楷体" w:cs="楷体"/>
          <w:b/>
          <w:bCs/>
          <w:color w:val="auto"/>
          <w:kern w:val="2"/>
        </w:rPr>
        <w:t>课程设置</w:t>
      </w:r>
    </w:p>
    <w:p w14:paraId="098D4916">
      <w:pPr>
        <w:pStyle w:val="6"/>
        <w:widowControl/>
        <w:numPr>
          <w:ilvl w:val="0"/>
          <w:numId w:val="0"/>
        </w:numPr>
        <w:spacing w:beforeAutospacing="0" w:afterAutospacing="0" w:line="360" w:lineRule="auto"/>
        <w:ind w:firstLine="480" w:firstLineChars="200"/>
        <w:jc w:val="both"/>
        <w:rPr>
          <w:rFonts w:hint="eastAsia" w:ascii="楷体" w:hAnsi="楷体" w:eastAsia="楷体" w:cs="楷体"/>
          <w:color w:val="auto"/>
          <w:kern w:val="2"/>
        </w:rPr>
      </w:pPr>
      <w:r>
        <w:rPr>
          <w:rFonts w:hint="eastAsia" w:ascii="楷体" w:hAnsi="楷体" w:eastAsia="楷体" w:cs="楷体"/>
          <w:color w:val="auto"/>
          <w:kern w:val="2"/>
        </w:rPr>
        <w:t>根据专业培养目标和学院实际情况，开设有中医基础理论、中医诊断学、中药学、方剂学、经络与腧穴、刺法与灸法、推拿手法学、针灸治疗学、推拿治疗学等核心课程，以及思想道德与法治、英语、大学生就业指导与创业教育等公共课程。</w:t>
      </w:r>
    </w:p>
    <w:p w14:paraId="4DA17D34">
      <w:pPr>
        <w:numPr>
          <w:ilvl w:val="0"/>
          <w:numId w:val="0"/>
        </w:numPr>
        <w:spacing w:line="360" w:lineRule="auto"/>
        <w:ind w:firstLine="482" w:firstLineChars="200"/>
        <w:rPr>
          <w:rFonts w:hint="eastAsia" w:ascii="楷体" w:hAnsi="楷体" w:eastAsia="楷体" w:cs="楷体"/>
          <w:b/>
          <w:bCs/>
          <w:color w:val="auto"/>
          <w:sz w:val="24"/>
        </w:rPr>
      </w:pPr>
      <w:r>
        <w:rPr>
          <w:rFonts w:hint="eastAsia" w:ascii="楷体" w:hAnsi="楷体" w:eastAsia="楷体" w:cs="楷体"/>
          <w:b/>
          <w:bCs/>
          <w:color w:val="auto"/>
          <w:sz w:val="24"/>
          <w:lang w:val="en-US" w:eastAsia="zh-CN"/>
        </w:rPr>
        <w:t>2.</w:t>
      </w:r>
      <w:r>
        <w:rPr>
          <w:rFonts w:hint="eastAsia" w:ascii="楷体" w:hAnsi="楷体" w:eastAsia="楷体" w:cs="楷体"/>
          <w:b/>
          <w:bCs/>
          <w:color w:val="auto"/>
          <w:sz w:val="24"/>
        </w:rPr>
        <w:t>考取证书情况</w:t>
      </w:r>
    </w:p>
    <w:p w14:paraId="20327C97">
      <w:pPr>
        <w:numPr>
          <w:ilvl w:val="0"/>
          <w:numId w:val="0"/>
        </w:numPr>
        <w:spacing w:line="360" w:lineRule="auto"/>
        <w:ind w:firstLine="480" w:firstLineChars="200"/>
        <w:rPr>
          <w:rFonts w:ascii="楷体" w:hAnsi="楷体" w:eastAsia="楷体" w:cs="楷体"/>
          <w:color w:val="auto"/>
          <w:sz w:val="24"/>
        </w:rPr>
      </w:pPr>
      <w:r>
        <w:rPr>
          <w:rFonts w:hint="eastAsia" w:ascii="楷体" w:hAnsi="楷体" w:eastAsia="楷体" w:cs="楷体"/>
          <w:color w:val="auto"/>
          <w:sz w:val="24"/>
        </w:rPr>
        <w:t>针灸推拿专业学生毕业后从事该专业技术工作达到规定年限后，可考取中医执业助理医师资格证书及中医执业医师资格证书，该证书在全国范围内有效。学生在校期间，可以报名考取教育部“1+X”职业技能等级证书，目前开设的有家庭保健按摩（中级）、失智老年人照护（中级）职业技能等级考核。</w:t>
      </w:r>
    </w:p>
    <w:p w14:paraId="72D16398">
      <w:pPr>
        <w:spacing w:line="360" w:lineRule="auto"/>
        <w:rPr>
          <w:rStyle w:val="9"/>
          <w:rFonts w:ascii="楷体_GB2312" w:hAnsi="楷体_GB2312" w:eastAsia="楷体_GB2312" w:cs="楷体_GB2312"/>
          <w:bCs/>
          <w:color w:val="auto"/>
          <w:spacing w:val="8"/>
          <w:kern w:val="0"/>
          <w:sz w:val="24"/>
          <w:shd w:val="clear" w:color="auto" w:fill="FFFFFF"/>
          <w:lang w:bidi="ar"/>
        </w:rPr>
      </w:pPr>
      <w:r>
        <w:rPr>
          <w:rStyle w:val="9"/>
          <w:rFonts w:hint="eastAsia" w:ascii="楷体_GB2312" w:hAnsi="楷体_GB2312" w:eastAsia="楷体_GB2312" w:cs="楷体_GB2312"/>
          <w:bCs/>
          <w:color w:val="auto"/>
          <w:spacing w:val="8"/>
          <w:kern w:val="0"/>
          <w:sz w:val="24"/>
          <w:shd w:val="clear" w:color="auto" w:fill="FFFFFF"/>
          <w:lang w:bidi="ar"/>
        </w:rPr>
        <w:t>五、实训条件</w:t>
      </w:r>
    </w:p>
    <w:p w14:paraId="5F3A3425">
      <w:pPr>
        <w:pStyle w:val="6"/>
        <w:widowControl/>
        <w:spacing w:beforeAutospacing="0" w:afterAutospacing="0" w:line="360" w:lineRule="auto"/>
        <w:ind w:firstLine="482" w:firstLineChars="200"/>
        <w:jc w:val="both"/>
        <w:rPr>
          <w:rFonts w:hint="eastAsia" w:ascii="楷体" w:hAnsi="楷体" w:eastAsia="楷体" w:cs="楷体"/>
          <w:b/>
          <w:bCs/>
          <w:color w:val="auto"/>
          <w:kern w:val="2"/>
        </w:rPr>
      </w:pPr>
      <w:r>
        <w:rPr>
          <w:rFonts w:hint="eastAsia" w:ascii="楷体" w:hAnsi="楷体" w:eastAsia="楷体" w:cs="楷体"/>
          <w:b/>
          <w:bCs/>
          <w:color w:val="auto"/>
          <w:kern w:val="2"/>
        </w:rPr>
        <w:t>1.校内实训基地</w:t>
      </w:r>
    </w:p>
    <w:p w14:paraId="484979BA">
      <w:pPr>
        <w:pStyle w:val="6"/>
        <w:widowControl/>
        <w:spacing w:beforeAutospacing="0" w:afterAutospacing="0" w:line="360" w:lineRule="auto"/>
        <w:ind w:firstLine="480" w:firstLineChars="200"/>
        <w:jc w:val="both"/>
        <w:rPr>
          <w:rFonts w:ascii="楷体" w:hAnsi="楷体" w:eastAsia="楷体" w:cs="楷体"/>
          <w:color w:val="auto"/>
          <w:kern w:val="2"/>
        </w:rPr>
      </w:pPr>
      <w:r>
        <w:rPr>
          <w:rFonts w:hint="eastAsia" w:ascii="楷体" w:hAnsi="楷体" w:eastAsia="楷体" w:cs="楷体"/>
          <w:color w:val="auto"/>
          <w:kern w:val="2"/>
        </w:rPr>
        <w:t>针灸推拿专业注重学生实践操作能力的培养和临床经验的积累，建有针灸实训室、推拿实训室、中医诊断实训室、物理治疗实训室、康复评定实训室、解剖实训室等20多个校内实验、实训基地，逐步探索出一种集仿真实训、服务实训、定岗实训相结合的“三训一体”阶梯式实践教学模式。</w:t>
      </w:r>
    </w:p>
    <w:p w14:paraId="03F92A0E">
      <w:pPr>
        <w:pStyle w:val="6"/>
        <w:widowControl/>
        <w:spacing w:beforeAutospacing="0" w:afterAutospacing="0" w:line="360" w:lineRule="auto"/>
        <w:jc w:val="both"/>
        <w:rPr>
          <w:color w:val="auto"/>
        </w:rPr>
      </w:pPr>
      <w:r>
        <w:rPr>
          <w:rFonts w:asciiTheme="minorEastAsia" w:hAnsiTheme="minorEastAsia" w:eastAsiaTheme="minorEastAsia"/>
          <w:color w:val="auto"/>
        </w:rPr>
        <w:drawing>
          <wp:inline distT="0" distB="0" distL="0" distR="0">
            <wp:extent cx="2560320" cy="1708150"/>
            <wp:effectExtent l="0" t="0" r="11430" b="6350"/>
            <wp:docPr id="4" name="图片 4" descr="C:\Users\Administrator\Desktop\展板内容\针灸推拿专业\设施完善的推拿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展板内容\针灸推拿专业\设施完善的推拿实训室.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60320" cy="1708150"/>
                    </a:xfrm>
                    <a:prstGeom prst="rect">
                      <a:avLst/>
                    </a:prstGeom>
                    <a:noFill/>
                    <a:ln>
                      <a:noFill/>
                    </a:ln>
                  </pic:spPr>
                </pic:pic>
              </a:graphicData>
            </a:graphic>
          </wp:inline>
        </w:drawing>
      </w:r>
      <w:r>
        <w:rPr>
          <w:rFonts w:hint="eastAsia" w:asciiTheme="minorEastAsia" w:hAnsiTheme="minorEastAsia" w:eastAsiaTheme="minorEastAsia"/>
          <w:color w:val="auto"/>
        </w:rPr>
        <w:t xml:space="preserve"> </w:t>
      </w:r>
      <w:r>
        <w:rPr>
          <w:color w:val="auto"/>
        </w:rPr>
        <w:drawing>
          <wp:inline distT="0" distB="0" distL="0" distR="0">
            <wp:extent cx="2568575" cy="1712595"/>
            <wp:effectExtent l="0" t="0" r="317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68575" cy="1712595"/>
                    </a:xfrm>
                    <a:prstGeom prst="rect">
                      <a:avLst/>
                    </a:prstGeom>
                    <a:noFill/>
                    <a:ln>
                      <a:noFill/>
                    </a:ln>
                  </pic:spPr>
                </pic:pic>
              </a:graphicData>
            </a:graphic>
          </wp:inline>
        </w:drawing>
      </w:r>
    </w:p>
    <w:p w14:paraId="1ADDA589">
      <w:pPr>
        <w:pStyle w:val="6"/>
        <w:widowControl/>
        <w:spacing w:beforeAutospacing="0" w:afterAutospacing="0" w:line="360" w:lineRule="auto"/>
        <w:ind w:firstLine="1500" w:firstLineChars="1000"/>
        <w:jc w:val="both"/>
        <w:rPr>
          <w:color w:val="auto"/>
        </w:rPr>
      </w:pPr>
      <w:r>
        <w:rPr>
          <w:rFonts w:hint="eastAsia" w:ascii="宋体" w:hAnsi="Calibri" w:cs="宋体"/>
          <w:color w:val="auto"/>
          <w:kern w:val="2"/>
          <w:sz w:val="15"/>
          <w:szCs w:val="15"/>
        </w:rPr>
        <w:t>针灸推拿实训室                                         针灸实训课</w:t>
      </w:r>
    </w:p>
    <w:p w14:paraId="0C318940">
      <w:pPr>
        <w:pStyle w:val="6"/>
        <w:widowControl/>
        <w:numPr>
          <w:ilvl w:val="0"/>
          <w:numId w:val="0"/>
        </w:numPr>
        <w:spacing w:beforeAutospacing="0" w:afterAutospacing="0" w:line="360" w:lineRule="auto"/>
        <w:ind w:firstLine="482" w:firstLineChars="200"/>
        <w:jc w:val="both"/>
        <w:rPr>
          <w:rFonts w:hint="eastAsia" w:ascii="楷体" w:hAnsi="楷体" w:eastAsia="楷体" w:cs="楷体"/>
          <w:b/>
          <w:bCs/>
          <w:color w:val="auto"/>
          <w:kern w:val="2"/>
        </w:rPr>
      </w:pPr>
      <w:r>
        <w:rPr>
          <w:rFonts w:hint="eastAsia" w:ascii="楷体" w:hAnsi="楷体" w:eastAsia="楷体" w:cs="楷体"/>
          <w:b/>
          <w:bCs/>
          <w:color w:val="auto"/>
          <w:kern w:val="2"/>
          <w:lang w:val="en-US" w:eastAsia="zh-CN"/>
        </w:rPr>
        <w:t>2.</w:t>
      </w:r>
      <w:r>
        <w:rPr>
          <w:rFonts w:hint="eastAsia" w:ascii="楷体" w:hAnsi="楷体" w:eastAsia="楷体" w:cs="楷体"/>
          <w:b/>
          <w:bCs/>
          <w:color w:val="auto"/>
          <w:kern w:val="2"/>
        </w:rPr>
        <w:t>校外实践基地</w:t>
      </w:r>
    </w:p>
    <w:p w14:paraId="542C7142">
      <w:pPr>
        <w:pStyle w:val="6"/>
        <w:widowControl/>
        <w:numPr>
          <w:ilvl w:val="0"/>
          <w:numId w:val="0"/>
        </w:numPr>
        <w:spacing w:beforeAutospacing="0" w:afterAutospacing="0" w:line="360" w:lineRule="auto"/>
        <w:ind w:firstLine="480" w:firstLineChars="200"/>
        <w:jc w:val="both"/>
        <w:rPr>
          <w:rFonts w:ascii="楷体" w:hAnsi="楷体" w:eastAsia="楷体" w:cs="楷体"/>
          <w:color w:val="auto"/>
          <w:kern w:val="2"/>
        </w:rPr>
      </w:pPr>
      <w:r>
        <w:rPr>
          <w:rFonts w:hint="eastAsia" w:ascii="楷体" w:hAnsi="楷体" w:eastAsia="楷体" w:cs="楷体"/>
          <w:color w:val="auto"/>
          <w:kern w:val="2"/>
        </w:rPr>
        <w:t>该专业与山东中医药大学附属医院、山东中医药大学第二附属医院、济南市中医医院</w:t>
      </w:r>
      <w:r>
        <w:rPr>
          <w:rFonts w:hint="eastAsia" w:ascii="楷体" w:hAnsi="楷体" w:eastAsia="楷体" w:cs="楷体"/>
          <w:color w:val="auto"/>
          <w:kern w:val="2"/>
          <w:lang w:eastAsia="zh-CN"/>
        </w:rPr>
        <w:t>、淄博市中医医院，威海市中医院</w:t>
      </w:r>
      <w:r>
        <w:rPr>
          <w:rFonts w:hint="eastAsia" w:ascii="楷体" w:hAnsi="楷体" w:eastAsia="楷体" w:cs="楷体"/>
          <w:color w:val="auto"/>
          <w:kern w:val="2"/>
        </w:rPr>
        <w:t>等省内外近40家医疗卫生机构、康复保健机构、疗养院相关单位签订人才实训实习基地协议，</w:t>
      </w:r>
      <w:r>
        <w:rPr>
          <w:rFonts w:hint="eastAsia" w:ascii="楷体_GB2312" w:hAnsi="楷体_GB2312" w:eastAsia="楷体_GB2312" w:cs="楷体_GB2312"/>
          <w:color w:val="auto"/>
          <w:shd w:val="clear" w:color="auto" w:fill="FFFFFF"/>
        </w:rPr>
        <w:t>为学生提供实训、实习等机会。</w:t>
      </w:r>
    </w:p>
    <w:p w14:paraId="45D8CD66">
      <w:pPr>
        <w:jc w:val="center"/>
        <w:rPr>
          <w:rFonts w:hint="eastAsia" w:ascii="宋体" w:hAnsi="Calibri" w:eastAsia="宋体" w:cs="宋体"/>
          <w:color w:val="auto"/>
          <w:sz w:val="24"/>
          <w:lang w:val="en-US" w:eastAsia="zh-CN"/>
        </w:rPr>
      </w:pPr>
      <w:r>
        <w:rPr>
          <w:rFonts w:hint="eastAsia" w:ascii="宋体" w:hAnsi="Calibri" w:cs="宋体"/>
          <w:color w:val="auto"/>
          <w:sz w:val="24"/>
        </w:rPr>
        <w:drawing>
          <wp:inline distT="0" distB="0" distL="114300" distR="114300">
            <wp:extent cx="2469515" cy="1593850"/>
            <wp:effectExtent l="0" t="0" r="6985" b="635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8"/>
                    <a:stretch>
                      <a:fillRect/>
                    </a:stretch>
                  </pic:blipFill>
                  <pic:spPr>
                    <a:xfrm>
                      <a:off x="0" y="0"/>
                      <a:ext cx="2469515" cy="1593850"/>
                    </a:xfrm>
                    <a:prstGeom prst="rect">
                      <a:avLst/>
                    </a:prstGeom>
                    <a:noFill/>
                    <a:ln>
                      <a:noFill/>
                    </a:ln>
                  </pic:spPr>
                </pic:pic>
              </a:graphicData>
            </a:graphic>
          </wp:inline>
        </w:drawing>
      </w:r>
      <w:r>
        <w:rPr>
          <w:rFonts w:hint="eastAsia" w:ascii="宋体" w:hAnsi="Calibri" w:cs="宋体"/>
          <w:color w:val="auto"/>
          <w:sz w:val="24"/>
          <w:lang w:val="en-US" w:eastAsia="zh-CN"/>
        </w:rPr>
        <w:t xml:space="preserve"> </w:t>
      </w:r>
      <w:r>
        <w:rPr>
          <w:rFonts w:hint="eastAsia" w:ascii="宋体" w:hAnsi="Calibri" w:cs="宋体"/>
          <w:color w:val="auto"/>
          <w:sz w:val="24"/>
          <w:lang w:val="en-US" w:eastAsia="zh-CN"/>
        </w:rPr>
        <w:drawing>
          <wp:inline distT="0" distB="0" distL="114300" distR="114300">
            <wp:extent cx="2375535" cy="1596390"/>
            <wp:effectExtent l="0" t="0" r="5715" b="3810"/>
            <wp:docPr id="5" name="图片 5" descr="a27a3572bcdef95bcdfd338c0a75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27a3572bcdef95bcdfd338c0a75ac6"/>
                    <pic:cNvPicPr>
                      <a:picLocks noChangeAspect="1"/>
                    </pic:cNvPicPr>
                  </pic:nvPicPr>
                  <pic:blipFill>
                    <a:blip r:embed="rId9"/>
                    <a:stretch>
                      <a:fillRect/>
                    </a:stretch>
                  </pic:blipFill>
                  <pic:spPr>
                    <a:xfrm>
                      <a:off x="0" y="0"/>
                      <a:ext cx="2375535" cy="1596390"/>
                    </a:xfrm>
                    <a:prstGeom prst="rect">
                      <a:avLst/>
                    </a:prstGeom>
                  </pic:spPr>
                </pic:pic>
              </a:graphicData>
            </a:graphic>
          </wp:inline>
        </w:drawing>
      </w:r>
    </w:p>
    <w:p w14:paraId="2F9C2767">
      <w:pPr>
        <w:ind w:firstLine="1200" w:firstLineChars="800"/>
        <w:jc w:val="both"/>
        <w:rPr>
          <w:rFonts w:hint="default" w:ascii="宋体" w:hAnsi="Calibri" w:cs="宋体"/>
          <w:color w:val="auto"/>
          <w:sz w:val="15"/>
          <w:szCs w:val="15"/>
          <w:lang w:val="en-US" w:eastAsia="zh-CN"/>
        </w:rPr>
      </w:pPr>
      <w:r>
        <w:rPr>
          <w:rFonts w:hint="eastAsia" w:ascii="宋体" w:hAnsi="Calibri" w:cs="宋体"/>
          <w:color w:val="auto"/>
          <w:sz w:val="15"/>
          <w:szCs w:val="15"/>
        </w:rPr>
        <w:t>山东中医药大学第二附属医院</w:t>
      </w:r>
      <w:r>
        <w:rPr>
          <w:rFonts w:hint="eastAsia" w:ascii="宋体" w:hAnsi="Calibri" w:cs="宋体"/>
          <w:color w:val="auto"/>
          <w:sz w:val="15"/>
          <w:szCs w:val="15"/>
          <w:lang w:val="en-US" w:eastAsia="zh-CN"/>
        </w:rPr>
        <w:t xml:space="preserve">                                </w:t>
      </w:r>
      <w:r>
        <w:rPr>
          <w:rFonts w:hint="eastAsia" w:ascii="宋体" w:hAnsi="Calibri" w:cs="宋体"/>
          <w:color w:val="auto"/>
          <w:sz w:val="15"/>
          <w:szCs w:val="15"/>
        </w:rPr>
        <w:t>济南市中医医院</w:t>
      </w:r>
    </w:p>
    <w:p w14:paraId="06C92E0D">
      <w:pPr>
        <w:widowControl/>
        <w:spacing w:line="360" w:lineRule="auto"/>
        <w:jc w:val="left"/>
        <w:rPr>
          <w:rStyle w:val="9"/>
          <w:rFonts w:ascii="楷体_GB2312" w:hAnsi="楷体_GB2312" w:eastAsia="楷体_GB2312" w:cs="楷体_GB2312"/>
          <w:bCs/>
          <w:color w:val="auto"/>
          <w:spacing w:val="8"/>
          <w:kern w:val="0"/>
          <w:sz w:val="24"/>
          <w:shd w:val="clear" w:color="auto" w:fill="FFFFFF"/>
          <w:lang w:bidi="ar"/>
        </w:rPr>
      </w:pPr>
      <w:bookmarkStart w:id="2" w:name="_Toc35345001"/>
      <w:r>
        <w:rPr>
          <w:rStyle w:val="9"/>
          <w:rFonts w:hint="eastAsia" w:ascii="楷体_GB2312" w:hAnsi="楷体_GB2312" w:eastAsia="楷体_GB2312" w:cs="楷体_GB2312"/>
          <w:bCs/>
          <w:color w:val="auto"/>
          <w:spacing w:val="8"/>
          <w:kern w:val="0"/>
          <w:sz w:val="24"/>
          <w:shd w:val="clear" w:color="auto" w:fill="FFFFFF"/>
          <w:lang w:bidi="ar"/>
        </w:rPr>
        <w:t>六、学历提升</w:t>
      </w:r>
    </w:p>
    <w:bookmarkEnd w:id="2"/>
    <w:p w14:paraId="7F33759C">
      <w:pPr>
        <w:pStyle w:val="2"/>
        <w:keepNext w:val="0"/>
        <w:keepLines w:val="0"/>
        <w:widowControl/>
        <w:spacing w:before="0" w:after="0" w:line="360" w:lineRule="auto"/>
        <w:ind w:left="76" w:right="76" w:firstLine="480" w:firstLineChars="200"/>
        <w:rPr>
          <w:rFonts w:ascii="楷体" w:hAnsi="楷体" w:eastAsia="楷体" w:cs="楷体"/>
          <w:b w:val="0"/>
          <w:bCs w:val="0"/>
          <w:color w:val="auto"/>
          <w:kern w:val="2"/>
          <w:sz w:val="24"/>
          <w:szCs w:val="24"/>
        </w:rPr>
      </w:pPr>
      <w:bookmarkStart w:id="3" w:name="_Toc35345004"/>
      <w:r>
        <w:rPr>
          <w:rFonts w:hint="eastAsia" w:ascii="楷体_GB2312" w:hAnsi="楷体_GB2312" w:eastAsia="楷体_GB2312" w:cs="楷体_GB2312"/>
          <w:b w:val="0"/>
          <w:bCs w:val="0"/>
          <w:color w:val="auto"/>
          <w:kern w:val="0"/>
          <w:sz w:val="24"/>
          <w:szCs w:val="24"/>
          <w:shd w:val="clear" w:color="auto" w:fill="FFFFFF"/>
        </w:rPr>
        <w:t>学生毕业当年，可根据当年度国家教育部和山东省教育厅发布的专升本通知，报考</w:t>
      </w:r>
      <w:r>
        <w:rPr>
          <w:rFonts w:hint="eastAsia" w:ascii="楷体" w:hAnsi="楷体" w:eastAsia="楷体" w:cs="楷体"/>
          <w:b w:val="0"/>
          <w:bCs w:val="0"/>
          <w:color w:val="auto"/>
          <w:kern w:val="2"/>
          <w:sz w:val="24"/>
          <w:szCs w:val="24"/>
        </w:rPr>
        <w:t>针灸推拿学</w:t>
      </w:r>
      <w:r>
        <w:rPr>
          <w:rFonts w:hint="eastAsia" w:ascii="楷体_GB2312" w:hAnsi="楷体_GB2312" w:eastAsia="楷体_GB2312" w:cs="楷体_GB2312"/>
          <w:b w:val="0"/>
          <w:bCs w:val="0"/>
          <w:color w:val="auto"/>
          <w:kern w:val="0"/>
          <w:sz w:val="24"/>
          <w:szCs w:val="24"/>
          <w:shd w:val="clear" w:color="auto" w:fill="FFFFFF"/>
        </w:rPr>
        <w:t>等相关专业，参加全省统一的专升本考试。专升本毕业的学生，第一学历为本科学历。</w:t>
      </w:r>
      <w:r>
        <w:rPr>
          <w:rFonts w:hint="eastAsia" w:ascii="楷体_GB2312" w:hAnsi="楷体_GB2312" w:eastAsia="楷体_GB2312" w:cs="楷体_GB2312"/>
          <w:b w:val="0"/>
          <w:bCs w:val="0"/>
          <w:color w:val="auto"/>
          <w:kern w:val="0"/>
          <w:sz w:val="24"/>
          <w:szCs w:val="24"/>
          <w:shd w:val="clear" w:color="auto" w:fill="FFFFFF"/>
          <w:lang w:val="en-US" w:eastAsia="zh-CN" w:bidi="ar-SA"/>
        </w:rPr>
        <w:t>我院康复保健系2024年专升本有127名同学顺利考入山东中医药大学、山东女子学院、齐鲁医药学院等本科院校继续深造。</w:t>
      </w:r>
    </w:p>
    <w:p w14:paraId="3F19D7DB">
      <w:pPr>
        <w:widowControl/>
        <w:spacing w:line="360" w:lineRule="auto"/>
        <w:jc w:val="left"/>
        <w:rPr>
          <w:rStyle w:val="9"/>
          <w:rFonts w:ascii="楷体_GB2312" w:hAnsi="楷体_GB2312" w:eastAsia="楷体_GB2312" w:cs="楷体_GB2312"/>
          <w:bCs/>
          <w:color w:val="auto"/>
          <w:spacing w:val="8"/>
          <w:kern w:val="0"/>
          <w:sz w:val="24"/>
          <w:shd w:val="clear" w:color="auto" w:fill="FFFFFF"/>
          <w:lang w:bidi="ar"/>
        </w:rPr>
      </w:pPr>
      <w:r>
        <w:rPr>
          <w:rStyle w:val="9"/>
          <w:rFonts w:hint="eastAsia" w:ascii="楷体_GB2312" w:hAnsi="楷体_GB2312" w:eastAsia="楷体_GB2312" w:cs="楷体_GB2312"/>
          <w:bCs/>
          <w:color w:val="auto"/>
          <w:spacing w:val="8"/>
          <w:kern w:val="0"/>
          <w:sz w:val="24"/>
          <w:shd w:val="clear" w:color="auto" w:fill="FFFFFF"/>
          <w:lang w:bidi="ar"/>
        </w:rPr>
        <w:t>七、</w:t>
      </w:r>
      <w:bookmarkEnd w:id="3"/>
      <w:r>
        <w:rPr>
          <w:rStyle w:val="9"/>
          <w:rFonts w:hint="eastAsia" w:ascii="楷体_GB2312" w:hAnsi="楷体_GB2312" w:eastAsia="楷体_GB2312" w:cs="楷体_GB2312"/>
          <w:bCs/>
          <w:color w:val="auto"/>
          <w:spacing w:val="8"/>
          <w:kern w:val="0"/>
          <w:sz w:val="24"/>
          <w:shd w:val="clear" w:color="auto" w:fill="FFFFFF"/>
          <w:lang w:bidi="ar"/>
        </w:rPr>
        <w:t>实习与就业</w:t>
      </w:r>
    </w:p>
    <w:p w14:paraId="368DA3D0">
      <w:pPr>
        <w:pStyle w:val="6"/>
        <w:widowControl/>
        <w:spacing w:beforeAutospacing="0" w:afterAutospacing="0" w:line="360" w:lineRule="auto"/>
        <w:ind w:firstLine="480" w:firstLineChars="200"/>
        <w:jc w:val="both"/>
        <w:rPr>
          <w:rFonts w:ascii="楷体" w:hAnsi="楷体" w:eastAsia="楷体" w:cs="楷体"/>
          <w:color w:val="auto"/>
          <w:kern w:val="2"/>
        </w:rPr>
      </w:pPr>
      <w:bookmarkStart w:id="4" w:name="_Toc35345005"/>
      <w:r>
        <w:rPr>
          <w:rFonts w:hint="eastAsia" w:ascii="楷体" w:hAnsi="楷体" w:eastAsia="楷体" w:cs="楷体"/>
          <w:color w:val="auto"/>
          <w:kern w:val="2"/>
        </w:rPr>
        <w:t>1</w:t>
      </w:r>
      <w:bookmarkEnd w:id="4"/>
      <w:r>
        <w:rPr>
          <w:rFonts w:hint="eastAsia" w:ascii="楷体" w:hAnsi="楷体" w:eastAsia="楷体" w:cs="楷体"/>
          <w:color w:val="auto"/>
          <w:kern w:val="2"/>
        </w:rPr>
        <w:t>.校外实习基地</w:t>
      </w:r>
    </w:p>
    <w:p w14:paraId="76E65908">
      <w:pPr>
        <w:pStyle w:val="6"/>
        <w:widowControl/>
        <w:spacing w:beforeAutospacing="0" w:afterAutospacing="0" w:line="360" w:lineRule="auto"/>
        <w:ind w:firstLine="480" w:firstLineChars="200"/>
        <w:jc w:val="both"/>
        <w:rPr>
          <w:rFonts w:ascii="楷体" w:hAnsi="楷体" w:eastAsia="楷体" w:cs="楷体"/>
          <w:color w:val="auto"/>
          <w:kern w:val="2"/>
        </w:rPr>
      </w:pPr>
      <w:r>
        <w:rPr>
          <w:rFonts w:hint="eastAsia" w:ascii="楷体" w:hAnsi="楷体" w:eastAsia="楷体" w:cs="楷体"/>
          <w:color w:val="auto"/>
          <w:kern w:val="2"/>
        </w:rPr>
        <w:t>学院地处省会济南，实习条件优越，校外实习基地包括山东中医药大学附属医院、山东大学齐鲁医院、山东大学第二医院、济南市儿童医院、济南市中医医院等1</w:t>
      </w:r>
      <w:r>
        <w:rPr>
          <w:rFonts w:ascii="楷体" w:hAnsi="楷体" w:eastAsia="楷体" w:cs="楷体"/>
          <w:color w:val="auto"/>
          <w:kern w:val="2"/>
        </w:rPr>
        <w:t>20</w:t>
      </w:r>
      <w:r>
        <w:rPr>
          <w:rFonts w:hint="eastAsia" w:ascii="楷体" w:hAnsi="楷体" w:eastAsia="楷体" w:cs="楷体"/>
          <w:color w:val="auto"/>
          <w:kern w:val="2"/>
        </w:rPr>
        <w:t>余所省内外医疗机构，有效地保障了毕业实习质量。</w:t>
      </w:r>
    </w:p>
    <w:p w14:paraId="06658CF7">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2.就业方向</w:t>
      </w:r>
    </w:p>
    <w:p w14:paraId="67F2BDD1">
      <w:pPr>
        <w:widowControl/>
        <w:spacing w:line="360" w:lineRule="auto"/>
        <w:ind w:firstLine="480" w:firstLineChars="200"/>
        <w:jc w:val="left"/>
        <w:rPr>
          <w:rFonts w:ascii="楷体" w:hAnsi="楷体" w:eastAsia="楷体" w:cs="楷体"/>
          <w:color w:val="auto"/>
          <w:sz w:val="24"/>
        </w:rPr>
      </w:pPr>
      <w:r>
        <w:rPr>
          <w:rFonts w:hint="eastAsia" w:ascii="楷体" w:hAnsi="楷体" w:eastAsia="楷体" w:cs="楷体"/>
          <w:color w:val="auto"/>
          <w:sz w:val="24"/>
        </w:rPr>
        <w:t>主要面向医疗卫生行业，在城镇、农村和社区医疗卫生机构、康复保健机构、疗养院、养老院等单位从事临床医疗、预防、养生保健、亚健康调理和康复等工作。</w:t>
      </w:r>
    </w:p>
    <w:p w14:paraId="7F541739">
      <w:pPr>
        <w:spacing w:line="360" w:lineRule="auto"/>
        <w:rPr>
          <w:rStyle w:val="9"/>
          <w:rFonts w:ascii="楷体_GB2312" w:hAnsi="楷体_GB2312" w:eastAsia="楷体_GB2312" w:cs="楷体_GB2312"/>
          <w:bCs/>
          <w:color w:val="auto"/>
          <w:spacing w:val="8"/>
          <w:kern w:val="0"/>
          <w:sz w:val="24"/>
          <w:shd w:val="clear" w:color="auto" w:fill="FFFFFF"/>
          <w:lang w:bidi="ar"/>
        </w:rPr>
      </w:pPr>
      <w:bookmarkStart w:id="5" w:name="_Toc35345003"/>
      <w:r>
        <w:rPr>
          <w:rStyle w:val="9"/>
          <w:rFonts w:hint="eastAsia" w:ascii="楷体_GB2312" w:hAnsi="楷体_GB2312" w:eastAsia="楷体_GB2312" w:cs="楷体_GB2312"/>
          <w:bCs/>
          <w:color w:val="auto"/>
          <w:spacing w:val="8"/>
          <w:kern w:val="0"/>
          <w:sz w:val="24"/>
          <w:shd w:val="clear" w:color="auto" w:fill="FFFFFF"/>
          <w:lang w:bidi="ar"/>
        </w:rPr>
        <w:t>八、丰富多彩的专业校园文化活动</w:t>
      </w:r>
      <w:bookmarkEnd w:id="5"/>
    </w:p>
    <w:p w14:paraId="48FF41DB">
      <w:pPr>
        <w:widowControl/>
        <w:spacing w:line="360" w:lineRule="auto"/>
        <w:ind w:firstLine="480" w:firstLineChars="200"/>
        <w:jc w:val="left"/>
        <w:rPr>
          <w:rFonts w:ascii="楷体" w:hAnsi="楷体" w:eastAsia="楷体" w:cs="楷体"/>
          <w:color w:val="auto"/>
          <w:sz w:val="24"/>
        </w:rPr>
      </w:pPr>
      <w:r>
        <w:rPr>
          <w:rFonts w:hint="eastAsia" w:ascii="楷体" w:hAnsi="楷体" w:eastAsia="楷体" w:cs="楷体"/>
          <w:color w:val="auto"/>
          <w:sz w:val="24"/>
        </w:rPr>
        <w:t>各类专业活动丰富多彩，康复保健系设有中医特色诊疗社团、康复保健协会、传统功法社团等，定期举办专业相关的各项校内活动和校外志愿服务等，不断提高针灸推拿专业教学质量和学生职业技能水平，培养学生的思维能力、动手能力和实践创新能力，丰富了学生的日常文化生活，为学生的求学生涯增光添彩。</w:t>
      </w:r>
    </w:p>
    <w:p w14:paraId="035FD9C2">
      <w:pPr>
        <w:widowControl/>
        <w:spacing w:line="360" w:lineRule="auto"/>
        <w:jc w:val="left"/>
        <w:rPr>
          <w:rFonts w:asciiTheme="minorEastAsia" w:hAnsiTheme="minorEastAsia" w:eastAsiaTheme="minorEastAsia"/>
          <w:color w:val="auto"/>
          <w:sz w:val="24"/>
        </w:rPr>
      </w:pPr>
      <w:r>
        <w:rPr>
          <w:rFonts w:hint="eastAsia"/>
          <w:color w:val="auto"/>
        </w:rPr>
        <w:drawing>
          <wp:inline distT="0" distB="0" distL="114300" distR="114300">
            <wp:extent cx="2550795" cy="1984375"/>
            <wp:effectExtent l="0" t="0" r="1905" b="15875"/>
            <wp:docPr id="3" name="图片 3" descr="3bae85c7641d099016de18ebcc2d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bae85c7641d099016de18ebcc2d813"/>
                    <pic:cNvPicPr>
                      <a:picLocks noChangeAspect="1"/>
                    </pic:cNvPicPr>
                  </pic:nvPicPr>
                  <pic:blipFill>
                    <a:blip r:embed="rId10"/>
                    <a:stretch>
                      <a:fillRect/>
                    </a:stretch>
                  </pic:blipFill>
                  <pic:spPr>
                    <a:xfrm>
                      <a:off x="0" y="0"/>
                      <a:ext cx="2550795" cy="1984375"/>
                    </a:xfrm>
                    <a:prstGeom prst="rect">
                      <a:avLst/>
                    </a:prstGeom>
                  </pic:spPr>
                </pic:pic>
              </a:graphicData>
            </a:graphic>
          </wp:inline>
        </w:drawing>
      </w:r>
      <w:r>
        <w:rPr>
          <w:rFonts w:hint="eastAsia"/>
          <w:color w:val="auto"/>
        </w:rPr>
        <w:t xml:space="preserve"> </w:t>
      </w:r>
      <w:r>
        <w:rPr>
          <w:rFonts w:asciiTheme="minorEastAsia" w:hAnsiTheme="minorEastAsia" w:eastAsiaTheme="minorEastAsia"/>
          <w:color w:val="auto"/>
          <w:sz w:val="24"/>
        </w:rPr>
        <w:drawing>
          <wp:inline distT="0" distB="0" distL="0" distR="0">
            <wp:extent cx="2546985" cy="1986280"/>
            <wp:effectExtent l="0" t="0" r="5715" b="13970"/>
            <wp:docPr id="2" name="图片 2" descr="C:\Users\Administrator\Desktop\展板内容\针灸推拿专业\社区推拿服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展板内容\针灸推拿专业\社区推拿服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6985" cy="1986280"/>
                    </a:xfrm>
                    <a:prstGeom prst="rect">
                      <a:avLst/>
                    </a:prstGeom>
                    <a:noFill/>
                    <a:ln>
                      <a:noFill/>
                    </a:ln>
                  </pic:spPr>
                </pic:pic>
              </a:graphicData>
            </a:graphic>
          </wp:inline>
        </w:drawing>
      </w:r>
    </w:p>
    <w:p w14:paraId="6609CB5B">
      <w:pPr>
        <w:ind w:firstLine="1350" w:firstLineChars="900"/>
        <w:rPr>
          <w:rFonts w:ascii="宋体" w:hAnsi="Calibri" w:cs="宋体"/>
          <w:color w:val="auto"/>
          <w:sz w:val="15"/>
          <w:szCs w:val="15"/>
        </w:rPr>
      </w:pPr>
      <w:r>
        <w:rPr>
          <w:rFonts w:hint="eastAsia" w:ascii="宋体" w:hAnsi="Calibri" w:cs="宋体"/>
          <w:color w:val="auto"/>
          <w:sz w:val="15"/>
          <w:szCs w:val="15"/>
        </w:rPr>
        <w:t>传统功法练习                                                志愿服务活动</w:t>
      </w:r>
    </w:p>
    <w:p w14:paraId="0B1A9166">
      <w:pPr>
        <w:widowControl/>
        <w:spacing w:line="360" w:lineRule="auto"/>
        <w:jc w:val="left"/>
        <w:rPr>
          <w:rStyle w:val="9"/>
          <w:rFonts w:ascii="楷体_GB2312" w:hAnsi="楷体_GB2312" w:eastAsia="楷体_GB2312" w:cs="楷体_GB2312"/>
          <w:bCs/>
          <w:color w:val="auto"/>
          <w:spacing w:val="8"/>
          <w:kern w:val="0"/>
          <w:sz w:val="24"/>
          <w:shd w:val="clear" w:color="auto" w:fill="FFFFFF"/>
          <w:lang w:bidi="ar"/>
        </w:rPr>
      </w:pPr>
      <w:bookmarkStart w:id="6" w:name="_Toc35345009"/>
      <w:r>
        <w:rPr>
          <w:rStyle w:val="9"/>
          <w:rFonts w:hint="eastAsia" w:ascii="楷体_GB2312" w:hAnsi="楷体_GB2312" w:eastAsia="楷体_GB2312" w:cs="楷体_GB2312"/>
          <w:bCs/>
          <w:color w:val="auto"/>
          <w:spacing w:val="8"/>
          <w:kern w:val="0"/>
          <w:sz w:val="24"/>
          <w:shd w:val="clear" w:color="auto" w:fill="FFFFFF"/>
          <w:lang w:bidi="ar"/>
        </w:rPr>
        <w:t>九、招生政策</w:t>
      </w:r>
      <w:bookmarkEnd w:id="6"/>
    </w:p>
    <w:p w14:paraId="15FD8A2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lang w:eastAsia="zh-CN"/>
        </w:rPr>
      </w:pPr>
      <w:r>
        <w:rPr>
          <w:rFonts w:hint="eastAsia" w:ascii="楷体_GB2312" w:hAnsi="楷体_GB2312" w:eastAsia="楷体_GB2312" w:cs="楷体_GB2312"/>
          <w:color w:val="0000FF"/>
          <w:shd w:val="clear" w:color="auto" w:fill="FFFFFF"/>
        </w:rPr>
        <w:t>夏季高考考生需参加山东省统一组织的文化课考试。考生按照山东省教育招生考试院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r>
        <w:rPr>
          <w:rFonts w:hint="eastAsia" w:ascii="楷体_GB2312" w:hAnsi="楷体_GB2312" w:eastAsia="楷体_GB2312" w:cs="楷体_GB2312"/>
          <w:color w:val="0000FF"/>
          <w:shd w:val="clear" w:color="auto" w:fill="FFFFFF"/>
          <w:lang w:eastAsia="zh-CN"/>
        </w:rPr>
        <w:t>。</w:t>
      </w:r>
    </w:p>
    <w:p w14:paraId="3EAA9F23">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rPr>
      </w:pPr>
      <w:r>
        <w:rPr>
          <w:rFonts w:hint="eastAsia" w:ascii="楷体_GB2312" w:hAnsi="楷体_GB2312" w:eastAsia="楷体_GB2312" w:cs="楷体_GB2312"/>
          <w:color w:val="0000FF"/>
          <w:shd w:val="clear" w:color="auto" w:fill="FFFFFF"/>
        </w:rPr>
        <w:t>春季高考考生需参加</w:t>
      </w:r>
      <w:bookmarkStart w:id="7" w:name="_Hlk100866660"/>
      <w:r>
        <w:rPr>
          <w:rFonts w:hint="eastAsia" w:ascii="楷体_GB2312" w:hAnsi="楷体_GB2312" w:eastAsia="楷体_GB2312" w:cs="楷体_GB2312"/>
          <w:color w:val="0000FF"/>
          <w:shd w:val="clear" w:color="auto" w:fill="FFFFFF"/>
        </w:rPr>
        <w:t>山东省统一组织的</w:t>
      </w:r>
      <w:bookmarkEnd w:id="7"/>
      <w:r>
        <w:rPr>
          <w:rFonts w:hint="eastAsia" w:ascii="楷体_GB2312" w:hAnsi="楷体_GB2312" w:eastAsia="楷体_GB2312" w:cs="楷体_GB2312"/>
          <w:color w:val="0000FF"/>
          <w:shd w:val="clear" w:color="auto" w:fill="FFFFFF"/>
        </w:rPr>
        <w:t>文化考试和技能测试。考生按照山东省教育招生考试院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p>
    <w:p w14:paraId="69E543D3">
      <w:pPr>
        <w:pStyle w:val="6"/>
        <w:widowControl/>
        <w:spacing w:beforeAutospacing="0" w:afterAutospacing="0" w:line="360" w:lineRule="auto"/>
        <w:ind w:firstLine="480" w:firstLineChars="200"/>
        <w:rPr>
          <w:rFonts w:ascii="楷体_GB2312" w:hAnsi="楷体_GB2312" w:eastAsia="楷体_GB2312" w:cs="楷体_GB2312"/>
          <w:color w:val="auto"/>
          <w:shd w:val="clear" w:color="auto" w:fill="FFFFFF"/>
        </w:rPr>
      </w:pPr>
      <w:r>
        <w:rPr>
          <w:rFonts w:hint="eastAsia" w:ascii="楷体_GB2312" w:hAnsi="楷体_GB2312" w:eastAsia="楷体_GB2312" w:cs="楷体_GB2312"/>
          <w:color w:val="0000FF"/>
          <w:shd w:val="clear" w:color="auto" w:fill="FFFFFF"/>
          <w:lang w:val="en-US" w:eastAsia="zh-CN"/>
        </w:rPr>
        <w:t>注：各专业招生计划以教育招生考试院批复为准。</w:t>
      </w:r>
    </w:p>
    <w:p w14:paraId="7A5849FF">
      <w:pPr>
        <w:widowControl/>
        <w:spacing w:line="360" w:lineRule="auto"/>
        <w:jc w:val="left"/>
        <w:rPr>
          <w:rStyle w:val="9"/>
          <w:rFonts w:ascii="楷体_GB2312" w:hAnsi="楷体_GB2312" w:eastAsia="楷体_GB2312" w:cs="楷体_GB2312"/>
          <w:bCs/>
          <w:color w:val="auto"/>
          <w:spacing w:val="8"/>
          <w:kern w:val="0"/>
          <w:sz w:val="24"/>
          <w:shd w:val="clear" w:color="auto" w:fill="FFFFFF"/>
          <w:lang w:bidi="ar"/>
        </w:rPr>
      </w:pPr>
      <w:bookmarkStart w:id="8" w:name="_Toc35345010"/>
      <w:r>
        <w:rPr>
          <w:rStyle w:val="9"/>
          <w:rFonts w:hint="eastAsia" w:ascii="楷体_GB2312" w:hAnsi="楷体_GB2312" w:eastAsia="楷体_GB2312" w:cs="楷体_GB2312"/>
          <w:bCs/>
          <w:color w:val="auto"/>
          <w:spacing w:val="8"/>
          <w:kern w:val="0"/>
          <w:sz w:val="24"/>
          <w:shd w:val="clear" w:color="auto" w:fill="FFFFFF"/>
          <w:lang w:bidi="ar"/>
        </w:rPr>
        <w:t>十、</w:t>
      </w:r>
      <w:r>
        <w:rPr>
          <w:rStyle w:val="9"/>
          <w:rFonts w:ascii="楷体_GB2312" w:hAnsi="楷体_GB2312" w:eastAsia="楷体_GB2312" w:cs="楷体_GB2312"/>
          <w:bCs/>
          <w:color w:val="auto"/>
          <w:spacing w:val="8"/>
          <w:kern w:val="0"/>
          <w:sz w:val="24"/>
          <w:shd w:val="clear" w:color="auto" w:fill="FFFFFF"/>
          <w:lang w:bidi="ar"/>
        </w:rPr>
        <w:t>贫困生资助</w:t>
      </w:r>
      <w:bookmarkEnd w:id="8"/>
    </w:p>
    <w:p w14:paraId="28D2847F">
      <w:pPr>
        <w:pStyle w:val="6"/>
        <w:widowControl/>
        <w:spacing w:beforeAutospacing="0" w:afterAutospacing="0" w:line="360" w:lineRule="auto"/>
        <w:ind w:firstLine="480" w:firstLineChars="200"/>
        <w:rPr>
          <w:rFonts w:ascii="楷体" w:hAnsi="楷体" w:eastAsia="楷体" w:cs="楷体"/>
          <w:color w:val="auto"/>
          <w:kern w:val="2"/>
        </w:rPr>
      </w:pP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相关规定执行。</w:t>
      </w:r>
      <w:r>
        <w:rPr>
          <w:rFonts w:hint="eastAsia" w:ascii="楷体" w:hAnsi="楷体" w:eastAsia="楷体" w:cs="楷体"/>
          <w:color w:val="auto"/>
          <w:kern w:val="2"/>
        </w:rPr>
        <w:t xml:space="preserve"> </w:t>
      </w:r>
      <w:r>
        <w:rPr>
          <w:rFonts w:ascii="楷体" w:hAnsi="楷体" w:eastAsia="楷体" w:cs="楷体"/>
          <w:color w:val="auto"/>
          <w:kern w:val="2"/>
        </w:rPr>
        <w:t xml:space="preserve">     </w:t>
      </w:r>
    </w:p>
    <w:p w14:paraId="52DC9D63">
      <w:pPr>
        <w:widowControl/>
        <w:spacing w:line="360" w:lineRule="auto"/>
        <w:jc w:val="left"/>
        <w:rPr>
          <w:rStyle w:val="9"/>
          <w:rFonts w:ascii="楷体_GB2312" w:hAnsi="楷体_GB2312" w:eastAsia="楷体_GB2312" w:cs="楷体_GB2312"/>
          <w:bCs/>
          <w:color w:val="auto"/>
          <w:spacing w:val="8"/>
          <w:kern w:val="0"/>
          <w:sz w:val="24"/>
          <w:shd w:val="clear" w:color="auto" w:fill="FFFFFF"/>
          <w:lang w:bidi="ar"/>
        </w:rPr>
      </w:pPr>
      <w:bookmarkStart w:id="9" w:name="_Toc35345011"/>
      <w:r>
        <w:rPr>
          <w:rStyle w:val="9"/>
          <w:rFonts w:hint="eastAsia" w:ascii="楷体_GB2312" w:hAnsi="楷体_GB2312" w:eastAsia="楷体_GB2312" w:cs="楷体_GB2312"/>
          <w:bCs/>
          <w:color w:val="auto"/>
          <w:spacing w:val="8"/>
          <w:kern w:val="0"/>
          <w:sz w:val="24"/>
          <w:shd w:val="clear" w:color="auto" w:fill="FFFFFF"/>
          <w:lang w:bidi="ar"/>
        </w:rPr>
        <w:t>十一、收费标准</w:t>
      </w:r>
      <w:bookmarkEnd w:id="9"/>
    </w:p>
    <w:p w14:paraId="77026B57">
      <w:pPr>
        <w:pStyle w:val="6"/>
        <w:widowControl/>
        <w:spacing w:beforeAutospacing="0" w:afterAutospacing="0" w:line="360" w:lineRule="auto"/>
        <w:ind w:firstLine="480" w:firstLineChars="200"/>
        <w:jc w:val="both"/>
        <w:rPr>
          <w:rFonts w:ascii="楷体" w:hAnsi="楷体" w:eastAsia="楷体" w:cs="楷体"/>
          <w:color w:val="auto"/>
          <w:kern w:val="2"/>
        </w:rPr>
      </w:pPr>
      <w:r>
        <w:rPr>
          <w:rFonts w:hint="default" w:ascii="楷体_GB2312" w:hAnsi="楷体_GB2312" w:eastAsia="楷体_GB2312" w:cs="楷体_GB2312"/>
          <w:color w:val="0000FF"/>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28557D5E">
      <w:pPr>
        <w:widowControl/>
        <w:spacing w:line="360" w:lineRule="auto"/>
        <w:jc w:val="left"/>
        <w:rPr>
          <w:rStyle w:val="9"/>
          <w:rFonts w:ascii="楷体_GB2312" w:hAnsi="楷体_GB2312" w:eastAsia="楷体_GB2312" w:cs="楷体_GB2312"/>
          <w:bCs/>
          <w:color w:val="auto"/>
          <w:spacing w:val="8"/>
          <w:kern w:val="0"/>
          <w:sz w:val="24"/>
          <w:shd w:val="clear" w:color="auto" w:fill="FFFFFF"/>
          <w:lang w:bidi="ar"/>
        </w:rPr>
      </w:pPr>
      <w:bookmarkStart w:id="10" w:name="_Toc35345012"/>
      <w:r>
        <w:rPr>
          <w:rStyle w:val="9"/>
          <w:rFonts w:hint="eastAsia" w:ascii="楷体_GB2312" w:hAnsi="楷体_GB2312" w:eastAsia="楷体_GB2312" w:cs="楷体_GB2312"/>
          <w:bCs/>
          <w:color w:val="auto"/>
          <w:spacing w:val="8"/>
          <w:kern w:val="0"/>
          <w:sz w:val="24"/>
          <w:shd w:val="clear" w:color="auto" w:fill="FFFFFF"/>
          <w:lang w:bidi="ar"/>
        </w:rPr>
        <w:t>十二、联系方式</w:t>
      </w:r>
      <w:bookmarkEnd w:id="10"/>
    </w:p>
    <w:p w14:paraId="57EDD476">
      <w:pPr>
        <w:pStyle w:val="6"/>
        <w:widowControl/>
        <w:spacing w:beforeAutospacing="0" w:afterAutospacing="0" w:line="360" w:lineRule="auto"/>
        <w:ind w:firstLine="480" w:firstLineChars="200"/>
        <w:jc w:val="both"/>
        <w:rPr>
          <w:rFonts w:hint="default" w:ascii="楷体" w:hAnsi="楷体" w:eastAsia="楷体" w:cs="楷体"/>
          <w:color w:val="auto"/>
          <w:kern w:val="2"/>
          <w:lang w:val="en-US" w:eastAsia="zh-CN"/>
        </w:rPr>
      </w:pPr>
      <w:r>
        <w:rPr>
          <w:rFonts w:hint="eastAsia" w:ascii="楷体" w:hAnsi="楷体" w:eastAsia="楷体" w:cs="楷体"/>
          <w:color w:val="auto"/>
          <w:kern w:val="2"/>
        </w:rPr>
        <w:t>专业负责人：</w:t>
      </w:r>
      <w:r>
        <w:rPr>
          <w:rFonts w:hint="eastAsia" w:ascii="楷体" w:hAnsi="楷体" w:eastAsia="楷体" w:cs="楷体"/>
          <w:color w:val="auto"/>
          <w:kern w:val="2"/>
          <w:lang w:val="en-US" w:eastAsia="zh-CN"/>
        </w:rPr>
        <w:t>周映帆</w:t>
      </w:r>
      <w:r>
        <w:rPr>
          <w:rFonts w:hint="eastAsia" w:ascii="楷体" w:hAnsi="楷体" w:eastAsia="楷体" w:cs="楷体"/>
          <w:color w:val="auto"/>
          <w:kern w:val="2"/>
        </w:rPr>
        <w:t xml:space="preserve">  </w:t>
      </w:r>
      <w:r>
        <w:rPr>
          <w:rFonts w:ascii="楷体" w:hAnsi="楷体" w:eastAsia="楷体" w:cs="楷体"/>
          <w:color w:val="auto"/>
          <w:kern w:val="2"/>
        </w:rPr>
        <w:t xml:space="preserve">     </w:t>
      </w:r>
      <w:r>
        <w:rPr>
          <w:rFonts w:hint="eastAsia" w:ascii="楷体" w:hAnsi="楷体" w:eastAsia="楷体" w:cs="楷体"/>
          <w:color w:val="auto"/>
          <w:kern w:val="2"/>
        </w:rPr>
        <w:t>联系方式：1</w:t>
      </w:r>
      <w:r>
        <w:rPr>
          <w:rFonts w:hint="eastAsia" w:ascii="楷体" w:hAnsi="楷体" w:eastAsia="楷体" w:cs="楷体"/>
          <w:color w:val="auto"/>
          <w:kern w:val="2"/>
          <w:lang w:val="en-US" w:eastAsia="zh-CN"/>
        </w:rPr>
        <w:t>3</w:t>
      </w:r>
      <w:r>
        <w:rPr>
          <w:rFonts w:ascii="楷体" w:hAnsi="楷体" w:eastAsia="楷体" w:cs="楷体"/>
          <w:color w:val="auto"/>
          <w:kern w:val="2"/>
        </w:rPr>
        <w:t>1</w:t>
      </w:r>
      <w:r>
        <w:rPr>
          <w:rFonts w:hint="eastAsia" w:ascii="楷体" w:hAnsi="楷体" w:eastAsia="楷体" w:cs="楷体"/>
          <w:color w:val="auto"/>
          <w:kern w:val="2"/>
          <w:lang w:val="en-US" w:eastAsia="zh-CN"/>
        </w:rPr>
        <w:t>53123756</w:t>
      </w:r>
    </w:p>
    <w:p w14:paraId="6E87AE63">
      <w:pPr>
        <w:pStyle w:val="6"/>
        <w:widowControl/>
        <w:spacing w:beforeAutospacing="0" w:afterAutospacing="0" w:line="360" w:lineRule="auto"/>
        <w:ind w:firstLine="480" w:firstLineChars="200"/>
        <w:jc w:val="both"/>
        <w:rPr>
          <w:rFonts w:ascii="楷体" w:hAnsi="楷体" w:eastAsia="楷体" w:cs="楷体"/>
          <w:color w:val="auto"/>
          <w:kern w:val="2"/>
        </w:rPr>
      </w:pPr>
      <w:r>
        <w:rPr>
          <w:rFonts w:hint="eastAsia" w:ascii="楷体" w:hAnsi="楷体" w:eastAsia="楷体" w:cs="楷体"/>
          <w:color w:val="auto"/>
          <w:kern w:val="2"/>
        </w:rPr>
        <w:t>系部负责人：王惠礼       联系方式：13864116206</w:t>
      </w:r>
    </w:p>
    <w:p w14:paraId="42047D96">
      <w:pPr>
        <w:pStyle w:val="6"/>
        <w:widowControl/>
        <w:spacing w:beforeAutospacing="0" w:afterAutospacing="0" w:line="360" w:lineRule="auto"/>
        <w:ind w:firstLine="480" w:firstLineChars="200"/>
        <w:jc w:val="both"/>
        <w:rPr>
          <w:rFonts w:ascii="楷体" w:hAnsi="楷体" w:eastAsia="楷体" w:cs="楷体"/>
          <w:color w:val="auto"/>
          <w:kern w:val="2"/>
        </w:rPr>
      </w:pPr>
      <w:r>
        <w:rPr>
          <w:rFonts w:hint="eastAsia" w:ascii="楷体_GB2312" w:hAnsi="楷体_GB2312" w:eastAsia="楷体_GB2312" w:cs="楷体_GB2312"/>
          <w:color w:val="auto"/>
          <w:shd w:val="clear" w:color="auto" w:fill="FFFFFF"/>
          <w:lang w:val="en-US" w:eastAsia="zh-CN"/>
        </w:rPr>
        <w:t>招生咨询电话：（0531）58164412、59532205、59822206</w:t>
      </w:r>
    </w:p>
    <w:p w14:paraId="1FEC6DD0">
      <w:pPr>
        <w:spacing w:line="360" w:lineRule="auto"/>
        <w:rPr>
          <w:rStyle w:val="9"/>
          <w:rFonts w:ascii="楷体_GB2312" w:hAnsi="楷体_GB2312" w:eastAsia="楷体_GB2312" w:cs="楷体_GB2312"/>
          <w:bCs/>
          <w:color w:val="auto"/>
          <w:spacing w:val="8"/>
          <w:kern w:val="0"/>
          <w:sz w:val="24"/>
          <w:shd w:val="clear" w:color="auto" w:fill="FFFFFF"/>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CCD3F4"/>
    <w:multiLevelType w:val="singleLevel"/>
    <w:tmpl w:val="E9CCD3F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mYzNjMGRiYjUwMzUyMDFlZmU4MjA0MGYzMjc1ZmIifQ=="/>
    <w:docVar w:name="KSO_WPS_MARK_KEY" w:val="71f36ca4-44df-468d-83d4-732aa643fe35"/>
  </w:docVars>
  <w:rsids>
    <w:rsidRoot w:val="00F56BC4"/>
    <w:rsid w:val="0001510F"/>
    <w:rsid w:val="000752C8"/>
    <w:rsid w:val="000B721F"/>
    <w:rsid w:val="000E3D49"/>
    <w:rsid w:val="00105482"/>
    <w:rsid w:val="00147587"/>
    <w:rsid w:val="001C0B0B"/>
    <w:rsid w:val="002531E4"/>
    <w:rsid w:val="00256A02"/>
    <w:rsid w:val="002763F0"/>
    <w:rsid w:val="002D36D6"/>
    <w:rsid w:val="00302C2B"/>
    <w:rsid w:val="00303BAD"/>
    <w:rsid w:val="00390C3E"/>
    <w:rsid w:val="003A5872"/>
    <w:rsid w:val="003A6D2C"/>
    <w:rsid w:val="004734E7"/>
    <w:rsid w:val="004E4E7E"/>
    <w:rsid w:val="00537EA2"/>
    <w:rsid w:val="005834B1"/>
    <w:rsid w:val="005A1C4C"/>
    <w:rsid w:val="006839FD"/>
    <w:rsid w:val="007870ED"/>
    <w:rsid w:val="00875ADC"/>
    <w:rsid w:val="008C354B"/>
    <w:rsid w:val="009155A7"/>
    <w:rsid w:val="00920E33"/>
    <w:rsid w:val="0099113F"/>
    <w:rsid w:val="009F2334"/>
    <w:rsid w:val="00A010DD"/>
    <w:rsid w:val="00A638CC"/>
    <w:rsid w:val="00AB6D9D"/>
    <w:rsid w:val="00AD0A92"/>
    <w:rsid w:val="00BC3370"/>
    <w:rsid w:val="00BE3A46"/>
    <w:rsid w:val="00BF1CFF"/>
    <w:rsid w:val="00D10565"/>
    <w:rsid w:val="00D22F30"/>
    <w:rsid w:val="00DD1C15"/>
    <w:rsid w:val="00DE7BF1"/>
    <w:rsid w:val="00E30447"/>
    <w:rsid w:val="00F56BC4"/>
    <w:rsid w:val="055A6B26"/>
    <w:rsid w:val="06022597"/>
    <w:rsid w:val="0E38067E"/>
    <w:rsid w:val="15D04F83"/>
    <w:rsid w:val="1716273C"/>
    <w:rsid w:val="1C401BA3"/>
    <w:rsid w:val="1CF03ABF"/>
    <w:rsid w:val="20A66577"/>
    <w:rsid w:val="23F932E9"/>
    <w:rsid w:val="24E3673A"/>
    <w:rsid w:val="2625251E"/>
    <w:rsid w:val="2EAD36F7"/>
    <w:rsid w:val="328D3698"/>
    <w:rsid w:val="35E32E3C"/>
    <w:rsid w:val="3B281F65"/>
    <w:rsid w:val="3B751ED0"/>
    <w:rsid w:val="412257D8"/>
    <w:rsid w:val="41881A54"/>
    <w:rsid w:val="450B17B9"/>
    <w:rsid w:val="4E7F7095"/>
    <w:rsid w:val="52403443"/>
    <w:rsid w:val="567659DA"/>
    <w:rsid w:val="5AB30CF3"/>
    <w:rsid w:val="61221176"/>
    <w:rsid w:val="61B74A96"/>
    <w:rsid w:val="62976675"/>
    <w:rsid w:val="63865695"/>
    <w:rsid w:val="646453CA"/>
    <w:rsid w:val="65C64247"/>
    <w:rsid w:val="66A24A79"/>
    <w:rsid w:val="69B6592E"/>
    <w:rsid w:val="6A9B7C00"/>
    <w:rsid w:val="6B9825C1"/>
    <w:rsid w:val="6D1F2122"/>
    <w:rsid w:val="6E892810"/>
    <w:rsid w:val="6E92542C"/>
    <w:rsid w:val="6F6C1DA3"/>
    <w:rsid w:val="701A6406"/>
    <w:rsid w:val="712068CE"/>
    <w:rsid w:val="75721991"/>
    <w:rsid w:val="77024953"/>
    <w:rsid w:val="77C83101"/>
    <w:rsid w:val="7DCD19D3"/>
    <w:rsid w:val="7F8F163D"/>
    <w:rsid w:val="7FFE2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240" w:lineRule="exact"/>
      <w:outlineLvl w:val="0"/>
    </w:pPr>
    <w:rPr>
      <w:b/>
      <w:bCs/>
      <w:kern w:val="44"/>
      <w:sz w:val="44"/>
      <w:szCs w:val="44"/>
    </w:rPr>
  </w:style>
  <w:style w:type="paragraph" w:styleId="3">
    <w:name w:val="heading 2"/>
    <w:basedOn w:val="1"/>
    <w:next w:val="1"/>
    <w:unhideWhenUsed/>
    <w:qFormat/>
    <w:uiPriority w:val="0"/>
    <w:pPr>
      <w:keepNext/>
      <w:keepLines/>
      <w:spacing w:before="260" w:after="260" w:line="200" w:lineRule="exact"/>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character" w:styleId="9">
    <w:name w:val="Strong"/>
    <w:basedOn w:val="8"/>
    <w:qFormat/>
    <w:uiPriority w:val="0"/>
    <w:rPr>
      <w:b/>
    </w:rPr>
  </w:style>
  <w:style w:type="character" w:customStyle="1" w:styleId="10">
    <w:name w:val="页眉 字符"/>
    <w:basedOn w:val="8"/>
    <w:link w:val="5"/>
    <w:qFormat/>
    <w:uiPriority w:val="99"/>
    <w:rPr>
      <w:rFonts w:ascii="Times New Roman" w:hAnsi="Times New Roman" w:eastAsia="宋体" w:cs="Times New Roman"/>
      <w:sz w:val="18"/>
      <w:szCs w:val="18"/>
    </w:rPr>
  </w:style>
  <w:style w:type="character" w:customStyle="1" w:styleId="11">
    <w:name w:val="页脚 字符"/>
    <w:basedOn w:val="8"/>
    <w:link w:val="4"/>
    <w:qFormat/>
    <w:uiPriority w:val="99"/>
    <w:rPr>
      <w:rFonts w:ascii="Times New Roman" w:hAnsi="Times New Roman" w:eastAsia="宋体" w:cs="Times New Roman"/>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2025</Words>
  <Characters>2107</Characters>
  <Lines>16</Lines>
  <Paragraphs>4</Paragraphs>
  <TotalTime>6</TotalTime>
  <ScaleCrop>false</ScaleCrop>
  <LinksUpToDate>false</LinksUpToDate>
  <CharactersWithSpaces>2255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2022-05-06T08:17:00Z</dcterms:created>
  <dc:creator>Administrator</dc:creator>
  <cp:lastModifiedBy>月华冬青</cp:lastModifiedBy>
  <dcterms:modified xsi:type="dcterms:W3CDTF">2025-04-08T01:10:44Z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B61F632EF8864D42A961CFF1F4BC1E20</vt:lpwstr>
  </property>
  <property fmtid="{D5CDD505-2E9C-101B-9397-08002B2CF9AE}" pid="4" name="commondata">
    <vt:lpwstr>eyJoZGlkIjoiNWM5MzYzN2MyMGUzMWY4OTQ4YjhhMzA4MTk5YTE3ZDQifQ==</vt:lpwstr>
  </property>
  <property fmtid="{D5CDD505-2E9C-101B-9397-08002B2CF9AE}" pid="5" name="KSOTemplateDocerSaveRecord">
    <vt:lpwstr>eyJoZGlkIjoiNWZiZTdhMmVjMjA3NWY1OGNhNWZiNDI3MzE0Mzk1OTkiLCJ1c2VySWQiOiIzMTc4ODI3ODQifQ==</vt:lpwstr>
  </property>
</Properties>
</file>