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8A4CED">
      <w:pPr>
        <w:pStyle w:val="3"/>
        <w:keepNext w:val="0"/>
        <w:keepLines w:val="0"/>
        <w:widowControl/>
        <w:shd w:val="clear" w:color="auto" w:fill="FFFFFF"/>
        <w:spacing w:before="0" w:after="120" w:line="240" w:lineRule="auto"/>
        <w:jc w:val="center"/>
        <w:rPr>
          <w:rFonts w:hint="default" w:ascii="楷体_GB2312" w:hAnsi="楷体_GB2312" w:eastAsia="楷体_GB2312" w:cs="楷体_GB2312"/>
          <w:bCs w:val="0"/>
          <w:spacing w:val="8"/>
          <w:kern w:val="0"/>
          <w:shd w:val="clear" w:color="auto" w:fill="FFFFFF"/>
          <w:lang w:val="en-US" w:eastAsia="zh-CN"/>
        </w:rPr>
      </w:pPr>
      <w:r>
        <w:rPr>
          <w:rFonts w:hint="eastAsia" w:ascii="楷体_GB2312" w:hAnsi="楷体_GB2312" w:eastAsia="楷体_GB2312" w:cs="楷体_GB2312"/>
          <w:bCs w:val="0"/>
          <w:spacing w:val="8"/>
          <w:kern w:val="0"/>
          <w:shd w:val="clear" w:color="auto" w:fill="FFFFFF"/>
          <w:lang w:val="en-US" w:eastAsia="zh-CN"/>
        </w:rPr>
        <w:t>智慧健康养老服务与管理专业简介</w:t>
      </w:r>
    </w:p>
    <w:p w14:paraId="38B2F1B3">
      <w:pPr>
        <w:widowControl w:val="0"/>
        <w:numPr>
          <w:ilvl w:val="0"/>
          <w:numId w:val="0"/>
        </w:numPr>
        <w:ind w:firstLine="560" w:firstLineChars="200"/>
        <w:jc w:val="both"/>
        <w:rPr>
          <w:rFonts w:hint="eastAsia" w:ascii="仿宋" w:hAnsi="仿宋" w:eastAsia="仿宋" w:cs="仿宋"/>
          <w:sz w:val="28"/>
          <w:szCs w:val="28"/>
          <w:highlight w:val="none"/>
          <w:lang w:val="en-US" w:eastAsia="zh-CN"/>
        </w:rPr>
      </w:pPr>
    </w:p>
    <w:p w14:paraId="6BB5CB3D">
      <w:pPr>
        <w:widowControl/>
        <w:spacing w:line="360" w:lineRule="auto"/>
        <w:jc w:val="left"/>
        <w:rPr>
          <w:rStyle w:val="10"/>
          <w:rFonts w:hint="eastAsia" w:ascii="楷体_GB2312" w:hAnsi="楷体_GB2312" w:eastAsia="楷体_GB2312" w:cs="楷体_GB2312"/>
          <w:bCs/>
          <w:spacing w:val="8"/>
          <w:kern w:val="0"/>
          <w:sz w:val="24"/>
          <w:szCs w:val="24"/>
          <w:shd w:val="clear" w:color="auto" w:fill="FFFFFF"/>
          <w:lang w:val="en-US" w:eastAsia="zh-CN" w:bidi="ar"/>
        </w:rPr>
      </w:pPr>
      <w:r>
        <w:rPr>
          <w:rStyle w:val="10"/>
          <w:rFonts w:hint="eastAsia" w:ascii="楷体_GB2312" w:hAnsi="楷体_GB2312" w:eastAsia="楷体_GB2312" w:cs="楷体_GB2312"/>
          <w:bCs/>
          <w:spacing w:val="8"/>
          <w:kern w:val="0"/>
          <w:sz w:val="24"/>
          <w:szCs w:val="24"/>
          <w:shd w:val="clear" w:color="auto" w:fill="FFFFFF"/>
          <w:lang w:val="en-US" w:eastAsia="zh-CN" w:bidi="ar"/>
        </w:rPr>
        <w:t>一、培养目标</w:t>
      </w:r>
    </w:p>
    <w:p w14:paraId="66495D3D">
      <w:pPr>
        <w:widowControl/>
        <w:spacing w:line="360" w:lineRule="auto"/>
        <w:ind w:firstLine="480" w:firstLineChars="200"/>
        <w:jc w:val="left"/>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本专业坚持立德树人，德技并修，培养服务于积极应对人口老龄化国家战略和区域经济社会发展需要，能够践行社会主义核心价值，理想信念坚定，德智体美劳全面发展，具有人文情怀、公共意识、创新精神、国际视野，系统掌握现代康养理念、知识与技能，具备老年健康照护、评估、管理能力，康养活动设计组织能力及康养机构运营管理能力。能够在养老机构、社区综合为老服务中心、养老评估机构等健康养老领域的公共部门和企事业单位从事服务、管理与研究工作，德、智、体、美、劳全面发展的复合型、应用型高素质专业人才。</w:t>
      </w:r>
    </w:p>
    <w:p w14:paraId="03002446">
      <w:pPr>
        <w:widowControl/>
        <w:spacing w:line="360" w:lineRule="auto"/>
        <w:jc w:val="left"/>
        <w:rPr>
          <w:rStyle w:val="10"/>
          <w:rFonts w:hint="eastAsia" w:ascii="楷体_GB2312" w:hAnsi="楷体_GB2312" w:eastAsia="楷体_GB2312" w:cs="楷体_GB2312"/>
          <w:bCs/>
          <w:spacing w:val="8"/>
          <w:kern w:val="0"/>
          <w:sz w:val="24"/>
          <w:szCs w:val="24"/>
          <w:shd w:val="clear" w:color="auto" w:fill="FFFFFF"/>
          <w:lang w:val="en-US" w:eastAsia="zh-CN" w:bidi="ar"/>
        </w:rPr>
      </w:pPr>
      <w:r>
        <w:rPr>
          <w:rStyle w:val="10"/>
          <w:rFonts w:hint="eastAsia" w:ascii="楷体_GB2312" w:hAnsi="楷体_GB2312" w:eastAsia="楷体_GB2312" w:cs="楷体_GB2312"/>
          <w:bCs/>
          <w:spacing w:val="8"/>
          <w:kern w:val="0"/>
          <w:sz w:val="24"/>
          <w:szCs w:val="24"/>
          <w:shd w:val="clear" w:color="auto" w:fill="FFFFFF"/>
          <w:lang w:val="en-US" w:eastAsia="zh-CN" w:bidi="ar"/>
        </w:rPr>
        <w:t>二、专业特色</w:t>
      </w:r>
    </w:p>
    <w:p w14:paraId="78DAF50D">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智慧健康养老服务与管理专业为山东省民政厅重点扶持建设专业，济南市现代学徒制试点培育项目，2021年构建了护理、智慧健康养老服务与管理、康复专业的山东省护理康养高水平专业群，与护理、康复专业组成省级护理康养高水平专业群，师资和实训条件良好，已立项专业群资源库建设。</w:t>
      </w:r>
    </w:p>
    <w:p w14:paraId="3B032EE1">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2024年我院智慧健康养老服务与管理专业与山东青年政治学院成立了三二贯通本科班。专业依托我院医药卫生类学校的优势，与康复、中医康复、针灸推拿、护理、营养等医学专业互为支撑，共同发展，以康养结合为优势，中西融合为特色，培养医养融合型养老服务与管理人才。我校与山东省立三院康复护理院、泰康之家、大家的家、金龄健康、建邦健康、闵善康养等多家医院、企业建立了校企合作关系和校外实训基地，并聘请有日本专业养老机构工作经历的教师担任相关核心课程，做到专任教师与企业兼职教师“双带头人制”。</w:t>
      </w:r>
    </w:p>
    <w:p w14:paraId="5F4CDCEB">
      <w:pPr>
        <w:widowControl/>
        <w:spacing w:line="360" w:lineRule="auto"/>
        <w:jc w:val="left"/>
        <w:rPr>
          <w:rStyle w:val="10"/>
          <w:rFonts w:hint="eastAsia" w:ascii="楷体_GB2312" w:hAnsi="楷体_GB2312" w:eastAsia="楷体_GB2312" w:cs="楷体_GB2312"/>
          <w:bCs/>
          <w:spacing w:val="8"/>
          <w:kern w:val="0"/>
          <w:sz w:val="24"/>
          <w:szCs w:val="24"/>
          <w:shd w:val="clear" w:color="auto" w:fill="FFFFFF"/>
          <w:lang w:eastAsia="zh-CN" w:bidi="ar"/>
        </w:rPr>
      </w:pPr>
      <w:r>
        <w:rPr>
          <w:rStyle w:val="10"/>
          <w:rFonts w:hint="eastAsia" w:ascii="楷体_GB2312" w:hAnsi="楷体_GB2312" w:eastAsia="楷体_GB2312" w:cs="楷体_GB2312"/>
          <w:bCs/>
          <w:spacing w:val="8"/>
          <w:kern w:val="0"/>
          <w:sz w:val="24"/>
          <w:szCs w:val="24"/>
          <w:shd w:val="clear" w:color="auto" w:fill="FFFFFF"/>
          <w:lang w:val="en-US" w:eastAsia="zh-CN" w:bidi="ar"/>
        </w:rPr>
        <w:t>三、</w:t>
      </w:r>
      <w:r>
        <w:rPr>
          <w:rStyle w:val="10"/>
          <w:rFonts w:hint="eastAsia" w:ascii="楷体_GB2312" w:hAnsi="楷体_GB2312" w:eastAsia="楷体_GB2312" w:cs="楷体_GB2312"/>
          <w:bCs/>
          <w:spacing w:val="8"/>
          <w:kern w:val="0"/>
          <w:sz w:val="24"/>
          <w:szCs w:val="24"/>
          <w:shd w:val="clear" w:color="auto" w:fill="FFFFFF"/>
          <w:lang w:bidi="ar"/>
        </w:rPr>
        <w:t>师资</w:t>
      </w:r>
      <w:r>
        <w:rPr>
          <w:rStyle w:val="10"/>
          <w:rFonts w:hint="eastAsia" w:ascii="楷体_GB2312" w:hAnsi="楷体_GB2312" w:eastAsia="楷体_GB2312" w:cs="楷体_GB2312"/>
          <w:bCs/>
          <w:spacing w:val="8"/>
          <w:kern w:val="0"/>
          <w:sz w:val="24"/>
          <w:szCs w:val="24"/>
          <w:shd w:val="clear" w:color="auto" w:fill="FFFFFF"/>
          <w:lang w:val="en-US" w:eastAsia="zh-CN" w:bidi="ar"/>
        </w:rPr>
        <w:t>队伍</w:t>
      </w:r>
    </w:p>
    <w:p w14:paraId="0B06AE10">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护理康养专业教学团队为省级教学团队，山东省黄大年式教师团队。现有专兼职教师78人，其中高级职称18人，具有硕士研究生及以上学位32人，其中博士研究生2人，省级教学名师1人、省级优秀教师1人。“双师型”教师比例达到了92%。兼职教师均为三甲医院的护士长及养老机构高级管理人员，其中包括全国技术能手、全国民政系统劳动模范、山东省养老服务专家库专家等。</w:t>
      </w:r>
    </w:p>
    <w:p w14:paraId="74D394AA">
      <w:pPr>
        <w:widowControl/>
        <w:spacing w:line="360" w:lineRule="auto"/>
        <w:jc w:val="left"/>
        <w:rPr>
          <w:rStyle w:val="10"/>
          <w:rFonts w:hint="eastAsia" w:ascii="楷体_GB2312" w:hAnsi="楷体_GB2312" w:eastAsia="楷体_GB2312" w:cs="楷体_GB2312"/>
          <w:bCs/>
          <w:spacing w:val="8"/>
          <w:kern w:val="0"/>
          <w:sz w:val="24"/>
          <w:szCs w:val="24"/>
          <w:shd w:val="clear" w:color="auto" w:fill="FFFFFF"/>
          <w:lang w:val="en-US" w:eastAsia="zh-CN" w:bidi="ar"/>
        </w:rPr>
      </w:pPr>
      <w:r>
        <w:rPr>
          <w:rStyle w:val="10"/>
          <w:rFonts w:hint="eastAsia" w:ascii="楷体_GB2312" w:hAnsi="楷体_GB2312" w:eastAsia="楷体_GB2312" w:cs="楷体_GB2312"/>
          <w:bCs/>
          <w:spacing w:val="8"/>
          <w:kern w:val="0"/>
          <w:sz w:val="24"/>
          <w:szCs w:val="24"/>
          <w:shd w:val="clear" w:color="auto" w:fill="FFFFFF"/>
          <w:lang w:val="en-US" w:eastAsia="zh-CN" w:bidi="ar"/>
        </w:rPr>
        <w:t>四、实训基地</w:t>
      </w:r>
    </w:p>
    <w:p w14:paraId="065A17B4">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1.校内实训基地：面积近1000平方米，建有老年活动策划室、老年居家护理实训室、老年评估实训室、老年康复实训室等。</w:t>
      </w:r>
    </w:p>
    <w:p w14:paraId="7FA75E91">
      <w:pPr>
        <w:widowControl/>
        <w:spacing w:line="360" w:lineRule="auto"/>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 xml:space="preserve"> </w:t>
      </w:r>
      <w:r>
        <w:rPr>
          <w:rFonts w:hint="eastAsia" w:ascii="楷体_GB2312" w:hAnsi="楷体_GB2312" w:eastAsia="楷体_GB2312" w:cs="楷体_GB2312"/>
          <w:kern w:val="0"/>
          <w:sz w:val="24"/>
          <w:szCs w:val="24"/>
          <w:shd w:val="clear" w:color="auto" w:fill="FFFFFF"/>
          <w:lang w:val="en-US" w:eastAsia="zh-CN"/>
        </w:rPr>
        <w:drawing>
          <wp:inline distT="0" distB="0" distL="114300" distR="114300">
            <wp:extent cx="2582545" cy="1770380"/>
            <wp:effectExtent l="15875" t="0" r="78105" b="71120"/>
            <wp:docPr id="5" name="图片 5" descr="464379aa4a17c94205230267b59d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64379aa4a17c94205230267b59de0b"/>
                    <pic:cNvPicPr>
                      <a:picLocks noChangeAspect="1"/>
                    </pic:cNvPicPr>
                  </pic:nvPicPr>
                  <pic:blipFill>
                    <a:blip r:embed="rId4"/>
                    <a:stretch>
                      <a:fillRect/>
                    </a:stretch>
                  </pic:blipFill>
                  <pic:spPr>
                    <a:xfrm>
                      <a:off x="0" y="0"/>
                      <a:ext cx="2582545" cy="1770380"/>
                    </a:xfrm>
                    <a:prstGeom prst="roundRect">
                      <a:avLst/>
                    </a:prstGeom>
                    <a:effectLst>
                      <a:outerShdw blurRad="50800" dist="38100" dir="2700000" algn="tl" rotWithShape="0">
                        <a:prstClr val="black">
                          <a:alpha val="40000"/>
                        </a:prstClr>
                      </a:outerShdw>
                    </a:effectLst>
                  </pic:spPr>
                </pic:pic>
              </a:graphicData>
            </a:graphic>
          </wp:inline>
        </w:drawing>
      </w:r>
      <w:r>
        <w:drawing>
          <wp:inline distT="0" distB="0" distL="114300" distR="114300">
            <wp:extent cx="2436495" cy="1837055"/>
            <wp:effectExtent l="15875" t="0" r="71755" b="711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2436495" cy="1837055"/>
                    </a:xfrm>
                    <a:prstGeom prst="roundRect">
                      <a:avLst/>
                    </a:prstGeom>
                    <a:effectLst>
                      <a:outerShdw blurRad="50800" dist="38100" dir="2700000" algn="tl" rotWithShape="0">
                        <a:prstClr val="black">
                          <a:alpha val="40000"/>
                        </a:prstClr>
                      </a:outerShdw>
                    </a:effectLst>
                  </pic:spPr>
                </pic:pic>
              </a:graphicData>
            </a:graphic>
          </wp:inline>
        </w:drawing>
      </w:r>
    </w:p>
    <w:p w14:paraId="4135C7AE">
      <w:pPr>
        <w:widowControl/>
        <w:spacing w:line="360" w:lineRule="auto"/>
        <w:ind w:firstLine="480" w:firstLineChars="200"/>
        <w:rPr>
          <w:rFonts w:hint="default"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 xml:space="preserve">     老年居家护理实训室                    老年活动策划室</w:t>
      </w:r>
    </w:p>
    <w:p w14:paraId="60FBFE88">
      <w:pPr>
        <w:widowControl/>
        <w:numPr>
          <w:ilvl w:val="0"/>
          <w:numId w:val="1"/>
        </w:numPr>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校外实训基地：已与山东省立第三医院康复护理院、泰康之家、闵善康养中心、金龄健康产业投资（山东）有限公司、大家的家、山东颐养健康产业发展集团有限公司、山东绿地幸福家综合服务有限公司、山东建邦健康产业发展有限公司等多家高端养老企业共建实训教学基地。</w:t>
      </w:r>
    </w:p>
    <w:p w14:paraId="048BBE30">
      <w:pPr>
        <w:widowControl/>
        <w:numPr>
          <w:numId w:val="0"/>
        </w:numPr>
        <w:spacing w:line="360" w:lineRule="auto"/>
        <w:rPr>
          <w:rFonts w:hint="default" w:ascii="楷体_GB2312" w:hAnsi="楷体_GB2312" w:eastAsia="楷体_GB2312" w:cs="楷体_GB2312"/>
          <w:kern w:val="0"/>
          <w:sz w:val="24"/>
          <w:szCs w:val="24"/>
          <w:shd w:val="clear" w:color="auto" w:fill="FFFFFF"/>
          <w:lang w:val="en-US" w:eastAsia="zh-CN"/>
        </w:rPr>
      </w:pPr>
    </w:p>
    <w:p w14:paraId="3CE0D335">
      <w:pPr>
        <w:widowControl/>
        <w:numPr>
          <w:numId w:val="0"/>
        </w:numPr>
        <w:spacing w:line="360" w:lineRule="auto"/>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drawing>
          <wp:inline distT="0" distB="0" distL="114300" distR="114300">
            <wp:extent cx="2585720" cy="1746885"/>
            <wp:effectExtent l="15875" t="0" r="74930" b="75565"/>
            <wp:docPr id="1" name="图片 1" descr="f20a9a7f92f1c8b145b76fd2f0a4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0a9a7f92f1c8b145b76fd2f0a446b"/>
                    <pic:cNvPicPr>
                      <a:picLocks noChangeAspect="1"/>
                    </pic:cNvPicPr>
                  </pic:nvPicPr>
                  <pic:blipFill>
                    <a:blip r:embed="rId6"/>
                    <a:stretch>
                      <a:fillRect/>
                    </a:stretch>
                  </pic:blipFill>
                  <pic:spPr>
                    <a:xfrm>
                      <a:off x="0" y="0"/>
                      <a:ext cx="2585720" cy="1746885"/>
                    </a:xfrm>
                    <a:prstGeom prst="roundRect">
                      <a:avLst/>
                    </a:prstGeom>
                    <a:effectLst>
                      <a:outerShdw blurRad="50800" dist="38100" dir="2700000" algn="tl" rotWithShape="0">
                        <a:prstClr val="black">
                          <a:alpha val="40000"/>
                        </a:prstClr>
                      </a:outerShdw>
                    </a:effectLst>
                  </pic:spPr>
                </pic:pic>
              </a:graphicData>
            </a:graphic>
          </wp:inline>
        </w:drawing>
      </w:r>
      <w:r>
        <w:rPr>
          <w:rFonts w:hint="eastAsia" w:ascii="楷体_GB2312" w:hAnsi="楷体_GB2312" w:eastAsia="楷体_GB2312" w:cs="楷体_GB2312"/>
          <w:kern w:val="0"/>
          <w:sz w:val="24"/>
          <w:szCs w:val="24"/>
          <w:shd w:val="clear" w:color="auto" w:fill="FFFFFF"/>
          <w:lang w:val="en-US" w:eastAsia="zh-CN"/>
        </w:rPr>
        <w:drawing>
          <wp:inline distT="0" distB="0" distL="114300" distR="114300">
            <wp:extent cx="2871470" cy="1759585"/>
            <wp:effectExtent l="15875" t="6350" r="74930" b="72390"/>
            <wp:docPr id="3" name="图片 3" descr="1972155bc9e4fad827a014ddc5a4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72155bc9e4fad827a014ddc5a40cb"/>
                    <pic:cNvPicPr>
                      <a:picLocks noChangeAspect="1"/>
                    </pic:cNvPicPr>
                  </pic:nvPicPr>
                  <pic:blipFill>
                    <a:blip r:embed="rId7"/>
                    <a:stretch>
                      <a:fillRect/>
                    </a:stretch>
                  </pic:blipFill>
                  <pic:spPr>
                    <a:xfrm>
                      <a:off x="0" y="0"/>
                      <a:ext cx="2871470" cy="1759585"/>
                    </a:xfrm>
                    <a:prstGeom prst="roundRect">
                      <a:avLst/>
                    </a:prstGeom>
                    <a:effectLst>
                      <a:outerShdw blurRad="50800" dist="38100" dir="2700000" algn="tl" rotWithShape="0">
                        <a:prstClr val="black">
                          <a:alpha val="40000"/>
                        </a:prstClr>
                      </a:outerShdw>
                    </a:effectLst>
                  </pic:spPr>
                </pic:pic>
              </a:graphicData>
            </a:graphic>
          </wp:inline>
        </w:drawing>
      </w:r>
    </w:p>
    <w:p w14:paraId="67565729">
      <w:pPr>
        <w:widowControl/>
        <w:numPr>
          <w:numId w:val="0"/>
        </w:numPr>
        <w:spacing w:line="360" w:lineRule="auto"/>
        <w:rPr>
          <w:rFonts w:hint="default"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 xml:space="preserve">      泰康之家儒园                             闵善康养</w:t>
      </w:r>
    </w:p>
    <w:p w14:paraId="04591132">
      <w:pPr>
        <w:widowControl/>
        <w:numPr>
          <w:numId w:val="0"/>
        </w:numPr>
        <w:spacing w:line="360" w:lineRule="auto"/>
        <w:rPr>
          <w:rFonts w:hint="eastAsia" w:ascii="楷体_GB2312" w:hAnsi="楷体_GB2312" w:eastAsia="楷体_GB2312" w:cs="楷体_GB2312"/>
          <w:kern w:val="0"/>
          <w:sz w:val="24"/>
          <w:szCs w:val="24"/>
          <w:shd w:val="clear" w:color="auto" w:fill="FFFFFF"/>
          <w:lang w:val="en-US" w:eastAsia="zh-CN"/>
        </w:rPr>
      </w:pPr>
    </w:p>
    <w:p w14:paraId="669A61FB">
      <w:pPr>
        <w:widowControl/>
        <w:spacing w:line="360" w:lineRule="auto"/>
        <w:jc w:val="left"/>
        <w:rPr>
          <w:rStyle w:val="10"/>
          <w:rFonts w:hint="eastAsia" w:ascii="楷体_GB2312" w:hAnsi="楷体_GB2312" w:eastAsia="楷体_GB2312" w:cs="楷体_GB2312"/>
          <w:bCs/>
          <w:spacing w:val="8"/>
          <w:kern w:val="0"/>
          <w:sz w:val="24"/>
          <w:szCs w:val="24"/>
          <w:shd w:val="clear" w:color="auto" w:fill="FFFFFF"/>
          <w:lang w:bidi="ar"/>
        </w:rPr>
      </w:pPr>
      <w:r>
        <w:rPr>
          <w:rStyle w:val="10"/>
          <w:rFonts w:hint="eastAsia" w:ascii="楷体_GB2312" w:hAnsi="楷体_GB2312" w:eastAsia="楷体_GB2312" w:cs="楷体_GB2312"/>
          <w:bCs/>
          <w:spacing w:val="8"/>
          <w:kern w:val="0"/>
          <w:sz w:val="24"/>
          <w:szCs w:val="24"/>
          <w:shd w:val="clear" w:color="auto" w:fill="FFFFFF"/>
          <w:lang w:val="en-US" w:eastAsia="zh-CN" w:bidi="ar"/>
        </w:rPr>
        <w:t>五、创新创业与学历提升</w:t>
      </w:r>
    </w:p>
    <w:p w14:paraId="1F684B72">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1.创新创业大赛</w:t>
      </w:r>
    </w:p>
    <w:p w14:paraId="71EC6870">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智慧健康养老服务与管理专业学生近年来在创新创业比赛中崭露头角，屡创佳绩。该专业学生近年来踊跃参与各类创新创业大赛，取得了丰硕成果，项目“新型可穿戴式集尿袋”获2021年第十三届山东省大学生科技节“联桥杯”第二届山东省大学生医养健康创新创业大赛创意组一等奖；2022年山东省大学生科创精英挑战赛-创新创业竞赛一等奖，全国高校商业精英挑战赛“精创教育杯”创新创业竞赛山东省总决赛一等奖、二等奖，第十四届山东省大学生科技节医养健康创新创业大赛二等奖，第十四届山东省大学生科技节商业精英挑战赛“精创教育杯”三等奖，第十三届“挑战杯”建设银行山东省大学创业计划竞赛银奖；2023年第三届山东省大学生互联网＋康养旅游大赛二等奖。2024年一带一路暨金砖国家技能发展与技术创新大赛养老机构运营与管理赛项三等奖，第四届山东省大学生互联网＋康养旅游大赛二等奖、三等奖。</w:t>
      </w:r>
    </w:p>
    <w:p w14:paraId="73C909F3">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2.技能大赛</w:t>
      </w:r>
    </w:p>
    <w:p w14:paraId="54F49A52">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智慧健康养老服务与管理专业致力于教育教学改革及学生操作能力提升，一方面完善了“系赛-院赛-省赛-国赛”四级大赛体系，选拔优秀学生参加专业技能大赛；另一方面设立特色校内赛项，鼓励学生创新实践，为学生创新创业打下基础。2020年，学生在山东省职业院校技能大赛“健康与社会照护”赛项荣获三等奖。2021年，学生在山东省职业院校技能大赛“养老护理技能”赛项中荣获一等奖，同年获得山东省技能兴鲁职业技能大赛二、三等奖各一项。2022年，学生在全国职业院校技能大赛“养老护理技能”赛项中荣获二等奖、山东省职业院校技能大赛“养老护理技能”赛项二等奖。2023年，学生在山东省职业院校技能大赛高职组“健康养老照护”赛项荣获一等奖，山东省“技能兴鲁”职业技能大赛一等奖2项、二等奖3项、三等奖2项。2024年，学生在世界职业院校技能大赛“健康养老照护”赛项荣获金奖，山东省职业院校技能大赛“健康养老照护”赛项一等奖，山东省职业院校技能大赛“老年护理与保健”赛项一等奖，山东省职业院校技能大赛“社区服务实务”赛项二等奖。</w:t>
      </w:r>
    </w:p>
    <w:p w14:paraId="4DAF1A35">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p>
    <w:p w14:paraId="33D52F07">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p>
    <w:p w14:paraId="20FE0AEF">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p>
    <w:p w14:paraId="6E3B1F7A">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p>
    <w:p w14:paraId="002386FF">
      <w:pPr>
        <w:widowControl/>
        <w:spacing w:line="360" w:lineRule="auto"/>
        <w:ind w:firstLine="480" w:firstLineChars="200"/>
        <w:rPr>
          <w:rFonts w:hint="eastAsia" w:ascii="楷体_GB2312" w:hAnsi="楷体_GB2312" w:eastAsia="楷体_GB2312" w:cs="楷体_GB2312"/>
          <w:kern w:val="0"/>
          <w:sz w:val="24"/>
          <w:szCs w:val="24"/>
          <w:shd w:val="clear" w:color="auto" w:fill="FFFFFF"/>
          <w:lang w:val="en-US" w:eastAsia="zh-CN"/>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655"/>
        <w:gridCol w:w="4655"/>
      </w:tblGrid>
      <w:tr w14:paraId="315B0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655" w:type="dxa"/>
            <w:vMerge w:val="restart"/>
          </w:tcPr>
          <w:p w14:paraId="39AF3F05">
            <w:pPr>
              <w:widowControl/>
              <w:spacing w:line="360" w:lineRule="auto"/>
            </w:pPr>
            <w:r>
              <w:drawing>
                <wp:inline distT="0" distB="0" distL="114300" distR="114300">
                  <wp:extent cx="2660650" cy="3419475"/>
                  <wp:effectExtent l="0" t="0" r="6350" b="0"/>
                  <wp:docPr id="7" name="图片 7" descr="45eceee5a4ff91ef13f0b0fed8af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5eceee5a4ff91ef13f0b0fed8af436"/>
                          <pic:cNvPicPr>
                            <a:picLocks noChangeAspect="1"/>
                          </pic:cNvPicPr>
                        </pic:nvPicPr>
                        <pic:blipFill>
                          <a:blip r:embed="rId8"/>
                          <a:srcRect r="1746"/>
                          <a:stretch>
                            <a:fillRect/>
                          </a:stretch>
                        </pic:blipFill>
                        <pic:spPr>
                          <a:xfrm>
                            <a:off x="0" y="0"/>
                            <a:ext cx="2660650" cy="3419475"/>
                          </a:xfrm>
                          <a:prstGeom prst="rect">
                            <a:avLst/>
                          </a:prstGeom>
                        </pic:spPr>
                      </pic:pic>
                    </a:graphicData>
                  </a:graphic>
                </wp:inline>
              </w:drawing>
            </w:r>
          </w:p>
          <w:p w14:paraId="3D0F46B6">
            <w:pPr>
              <w:widowControl/>
              <w:spacing w:line="360" w:lineRule="auto"/>
              <w:ind w:firstLine="210" w:firstLineChars="100"/>
              <w:rPr>
                <w:rFonts w:hint="default" w:eastAsiaTheme="minorEastAsia"/>
                <w:lang w:val="en-US" w:eastAsia="zh-CN"/>
              </w:rPr>
            </w:pPr>
            <w:r>
              <w:rPr>
                <w:rFonts w:hint="eastAsia"/>
                <w:lang w:val="en-US" w:eastAsia="zh-CN"/>
              </w:rPr>
              <w:t>2024年世界职业院校技能大赛争夺赛金奖</w:t>
            </w:r>
          </w:p>
        </w:tc>
        <w:tc>
          <w:tcPr>
            <w:tcW w:w="4655" w:type="dxa"/>
          </w:tcPr>
          <w:p w14:paraId="15703D0A">
            <w:pPr>
              <w:widowControl/>
              <w:spacing w:line="360" w:lineRule="auto"/>
              <w:rPr>
                <w:vertAlign w:val="baseline"/>
              </w:rPr>
            </w:pPr>
            <w:r>
              <w:rPr>
                <w:rFonts w:hint="eastAsia" w:eastAsiaTheme="minorEastAsia"/>
                <w:lang w:eastAsia="zh-CN"/>
              </w:rPr>
              <w:drawing>
                <wp:inline distT="0" distB="0" distL="114300" distR="114300">
                  <wp:extent cx="2447290" cy="1746885"/>
                  <wp:effectExtent l="0" t="0" r="635" b="5715"/>
                  <wp:docPr id="9" name="图片 9" descr="d0432a7b18ce7b813124fdb6265f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0432a7b18ce7b813124fdb6265f98d"/>
                          <pic:cNvPicPr>
                            <a:picLocks noChangeAspect="1"/>
                          </pic:cNvPicPr>
                        </pic:nvPicPr>
                        <pic:blipFill>
                          <a:blip r:embed="rId9"/>
                          <a:stretch>
                            <a:fillRect/>
                          </a:stretch>
                        </pic:blipFill>
                        <pic:spPr>
                          <a:xfrm>
                            <a:off x="0" y="0"/>
                            <a:ext cx="2447290" cy="1746885"/>
                          </a:xfrm>
                          <a:prstGeom prst="rect">
                            <a:avLst/>
                          </a:prstGeom>
                        </pic:spPr>
                      </pic:pic>
                    </a:graphicData>
                  </a:graphic>
                </wp:inline>
              </w:drawing>
            </w:r>
          </w:p>
          <w:p w14:paraId="72E368C6">
            <w:pPr>
              <w:widowControl/>
              <w:spacing w:line="360" w:lineRule="auto"/>
              <w:rPr>
                <w:vertAlign w:val="baseline"/>
              </w:rPr>
            </w:pPr>
            <w:r>
              <w:rPr>
                <w:rFonts w:hint="eastAsia" w:eastAsiaTheme="minorEastAsia"/>
                <w:lang w:eastAsia="zh-CN"/>
              </w:rPr>
              <w:drawing>
                <wp:inline distT="0" distB="0" distL="114300" distR="114300">
                  <wp:extent cx="1682115" cy="2374900"/>
                  <wp:effectExtent l="0" t="0" r="6350" b="3810"/>
                  <wp:docPr id="8" name="图片 8" descr="be48f50bdc82e57efd6882b4482b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e48f50bdc82e57efd6882b4482b2ec"/>
                          <pic:cNvPicPr>
                            <a:picLocks noChangeAspect="1"/>
                          </pic:cNvPicPr>
                        </pic:nvPicPr>
                        <pic:blipFill>
                          <a:blip r:embed="rId10"/>
                          <a:stretch>
                            <a:fillRect/>
                          </a:stretch>
                        </pic:blipFill>
                        <pic:spPr>
                          <a:xfrm rot="16200000">
                            <a:off x="0" y="0"/>
                            <a:ext cx="1682115" cy="2374900"/>
                          </a:xfrm>
                          <a:prstGeom prst="rect">
                            <a:avLst/>
                          </a:prstGeom>
                        </pic:spPr>
                      </pic:pic>
                    </a:graphicData>
                  </a:graphic>
                </wp:inline>
              </w:drawing>
            </w:r>
          </w:p>
        </w:tc>
      </w:tr>
      <w:tr w14:paraId="5588C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655" w:type="dxa"/>
            <w:vMerge w:val="continue"/>
          </w:tcPr>
          <w:p w14:paraId="336EB79B">
            <w:pPr>
              <w:widowControl/>
              <w:spacing w:line="360" w:lineRule="auto"/>
              <w:rPr>
                <w:vertAlign w:val="baseline"/>
              </w:rPr>
            </w:pPr>
          </w:p>
        </w:tc>
        <w:tc>
          <w:tcPr>
            <w:tcW w:w="4655" w:type="dxa"/>
          </w:tcPr>
          <w:p w14:paraId="31595CFA">
            <w:pPr>
              <w:widowControl/>
              <w:spacing w:line="360" w:lineRule="auto"/>
              <w:ind w:firstLine="420" w:firstLineChars="200"/>
              <w:rPr>
                <w:rFonts w:hint="default" w:eastAsiaTheme="minorEastAsia"/>
                <w:vertAlign w:val="baseline"/>
                <w:lang w:val="en-US" w:eastAsia="zh-CN"/>
              </w:rPr>
            </w:pPr>
            <w:r>
              <w:rPr>
                <w:rFonts w:hint="eastAsia"/>
                <w:vertAlign w:val="baseline"/>
                <w:lang w:val="en-US" w:eastAsia="zh-CN"/>
              </w:rPr>
              <w:t>山东省职业院校技能大赛一等奖</w:t>
            </w:r>
          </w:p>
        </w:tc>
      </w:tr>
    </w:tbl>
    <w:p w14:paraId="0B7F7282">
      <w:pPr>
        <w:pStyle w:val="5"/>
        <w:widowControl/>
        <w:spacing w:beforeAutospacing="0" w:afterAutospacing="0" w:line="360" w:lineRule="auto"/>
        <w:ind w:firstLine="480" w:firstLineChars="200"/>
        <w:jc w:val="both"/>
        <w:rPr>
          <w:rFonts w:hint="eastAsia" w:ascii="楷体_GB2312" w:hAnsi="楷体_GB2312" w:eastAsia="楷体_GB2312" w:cs="楷体_GB2312"/>
          <w:shd w:val="clear" w:color="auto" w:fill="FFFFFF"/>
        </w:rPr>
      </w:pPr>
      <w:bookmarkStart w:id="0" w:name="_Toc35345001"/>
      <w:r>
        <w:rPr>
          <w:rFonts w:hint="eastAsia" w:ascii="楷体_GB2312" w:hAnsi="楷体_GB2312" w:eastAsia="楷体_GB2312" w:cs="楷体_GB2312"/>
          <w:shd w:val="clear" w:color="auto" w:fill="FFFFFF"/>
        </w:rPr>
        <w:t>3.</w:t>
      </w:r>
      <w:bookmarkEnd w:id="0"/>
      <w:r>
        <w:rPr>
          <w:rFonts w:hint="eastAsia" w:ascii="楷体_GB2312" w:hAnsi="楷体_GB2312" w:eastAsia="楷体_GB2312" w:cs="楷体_GB2312"/>
          <w:shd w:val="clear" w:color="auto" w:fill="FFFFFF"/>
        </w:rPr>
        <w:t>学历提升</w:t>
      </w:r>
    </w:p>
    <w:p w14:paraId="6905C9CB">
      <w:pPr>
        <w:pStyle w:val="2"/>
        <w:keepNext w:val="0"/>
        <w:keepLines w:val="0"/>
        <w:widowControl/>
        <w:spacing w:before="0" w:after="0" w:line="360" w:lineRule="auto"/>
        <w:ind w:left="76" w:right="76" w:firstLine="480" w:firstLineChars="200"/>
        <w:rPr>
          <w:rFonts w:hint="eastAsia" w:eastAsiaTheme="minorEastAsia"/>
          <w:lang w:eastAsia="zh-CN"/>
        </w:rPr>
      </w:pPr>
      <w:r>
        <w:rPr>
          <w:rFonts w:hint="eastAsia" w:ascii="楷体_GB2312" w:hAnsi="楷体_GB2312" w:eastAsia="楷体_GB2312" w:cs="楷体_GB2312"/>
          <w:b w:val="0"/>
          <w:bCs w:val="0"/>
          <w:kern w:val="0"/>
          <w:sz w:val="24"/>
          <w:szCs w:val="24"/>
          <w:shd w:val="clear" w:color="auto" w:fill="FFFFFF"/>
        </w:rPr>
        <w:t>学生毕业当年，可根据当年度国家教育部和山东省教育厅发布的专升本通知，报考</w:t>
      </w:r>
      <w:r>
        <w:rPr>
          <w:rFonts w:hint="eastAsia" w:ascii="楷体_GB2312" w:hAnsi="楷体_GB2312" w:eastAsia="楷体_GB2312" w:cs="楷体_GB2312"/>
          <w:b w:val="0"/>
          <w:bCs w:val="0"/>
          <w:kern w:val="0"/>
          <w:sz w:val="24"/>
          <w:szCs w:val="24"/>
          <w:shd w:val="clear" w:color="auto" w:fill="FFFFFF"/>
          <w:lang w:val="en-US" w:eastAsia="zh-CN"/>
        </w:rPr>
        <w:t>养老服务与管理、健康服务与管理、社会工作</w:t>
      </w:r>
      <w:r>
        <w:rPr>
          <w:rFonts w:hint="eastAsia" w:ascii="楷体_GB2312" w:hAnsi="楷体_GB2312" w:eastAsia="楷体_GB2312" w:cs="楷体_GB2312"/>
          <w:b w:val="0"/>
          <w:bCs w:val="0"/>
          <w:kern w:val="0"/>
          <w:sz w:val="24"/>
          <w:szCs w:val="24"/>
          <w:shd w:val="clear" w:color="auto" w:fill="FFFFFF"/>
        </w:rPr>
        <w:t>等相关专业，参加全省统一的专升本考试。专升本毕业的学生，第一学历为本科学历。</w:t>
      </w:r>
      <w:r>
        <w:rPr>
          <w:rFonts w:hint="eastAsia" w:ascii="楷体_GB2312" w:hAnsi="楷体_GB2312" w:eastAsia="楷体_GB2312" w:cs="楷体_GB2312"/>
          <w:b w:val="0"/>
          <w:bCs w:val="0"/>
          <w:kern w:val="0"/>
          <w:sz w:val="24"/>
          <w:szCs w:val="24"/>
          <w:shd w:val="clear" w:color="auto" w:fill="FFFFFF"/>
          <w:lang w:val="en-US" w:eastAsia="zh-CN"/>
        </w:rPr>
        <w:t>录取为</w:t>
      </w:r>
      <w:r>
        <w:rPr>
          <w:rFonts w:hint="eastAsia" w:ascii="楷体_GB2312" w:hAnsi="楷体_GB2312" w:eastAsia="楷体_GB2312" w:cs="楷体_GB2312"/>
          <w:b w:val="0"/>
          <w:bCs w:val="0"/>
          <w:kern w:val="0"/>
          <w:sz w:val="24"/>
          <w:szCs w:val="24"/>
          <w:shd w:val="clear" w:color="auto" w:fill="FFFFFF"/>
        </w:rPr>
        <w:t>我院</w:t>
      </w:r>
      <w:r>
        <w:rPr>
          <w:rFonts w:hint="eastAsia" w:ascii="楷体_GB2312" w:hAnsi="楷体_GB2312" w:eastAsia="楷体_GB2312" w:cs="楷体_GB2312"/>
          <w:b w:val="0"/>
          <w:bCs w:val="0"/>
          <w:kern w:val="0"/>
          <w:sz w:val="24"/>
          <w:szCs w:val="24"/>
          <w:shd w:val="clear" w:color="auto" w:fill="FFFFFF"/>
          <w:lang w:val="en-US" w:eastAsia="zh-CN"/>
        </w:rPr>
        <w:t>智慧健康养老服务与管理三二贯通班的学生，经过转段考试合格后，可进入山东青年政治学院进行本科阶段学习。</w:t>
      </w:r>
    </w:p>
    <w:p w14:paraId="63EE8EC2">
      <w:pPr>
        <w:widowControl/>
        <w:spacing w:line="360" w:lineRule="auto"/>
        <w:jc w:val="left"/>
        <w:rPr>
          <w:rStyle w:val="10"/>
          <w:rFonts w:hint="eastAsia" w:ascii="楷体_GB2312" w:hAnsi="楷体_GB2312" w:eastAsia="楷体_GB2312" w:cs="楷体_GB2312"/>
          <w:bCs/>
          <w:spacing w:val="8"/>
          <w:kern w:val="0"/>
          <w:sz w:val="24"/>
          <w:szCs w:val="24"/>
          <w:shd w:val="clear" w:color="auto" w:fill="FFFFFF"/>
          <w:lang w:val="en-US" w:eastAsia="zh-CN" w:bidi="ar"/>
        </w:rPr>
      </w:pPr>
      <w:r>
        <w:rPr>
          <w:rStyle w:val="10"/>
          <w:rFonts w:hint="eastAsia" w:ascii="楷体_GB2312" w:hAnsi="楷体_GB2312" w:eastAsia="楷体_GB2312" w:cs="楷体_GB2312"/>
          <w:bCs/>
          <w:spacing w:val="8"/>
          <w:kern w:val="0"/>
          <w:sz w:val="24"/>
          <w:szCs w:val="24"/>
          <w:shd w:val="clear" w:color="auto" w:fill="FFFFFF"/>
          <w:lang w:val="en-US" w:eastAsia="zh-CN" w:bidi="ar"/>
        </w:rPr>
        <w:t>六、职业培训</w:t>
      </w:r>
    </w:p>
    <w:p w14:paraId="3601B9B8">
      <w:pPr>
        <w:widowControl/>
        <w:spacing w:line="360" w:lineRule="auto"/>
        <w:ind w:firstLine="480" w:firstLineChars="200"/>
        <w:rPr>
          <w:rFonts w:hint="default" w:ascii="楷体_GB2312" w:hAnsi="楷体_GB2312" w:eastAsia="楷体_GB2312" w:cs="楷体_GB2312"/>
          <w:kern w:val="0"/>
          <w:sz w:val="24"/>
          <w:szCs w:val="24"/>
          <w:shd w:val="clear" w:color="auto" w:fill="FFFFFF"/>
          <w:lang w:val="en-US" w:eastAsia="zh-CN"/>
        </w:rPr>
      </w:pPr>
      <w:r>
        <w:rPr>
          <w:rFonts w:hint="eastAsia" w:ascii="楷体_GB2312" w:hAnsi="楷体_GB2312" w:eastAsia="楷体_GB2312" w:cs="楷体_GB2312"/>
          <w:kern w:val="0"/>
          <w:sz w:val="24"/>
          <w:szCs w:val="24"/>
          <w:shd w:val="clear" w:color="auto" w:fill="FFFFFF"/>
          <w:lang w:val="en-US" w:eastAsia="zh-CN"/>
        </w:rPr>
        <w:t>智慧健康养老服务与管理专业学生在校期间，可以报名考取教育部“1+X”职业技能等级证书，目前开设的有老年照护（中级）、失智老年人照护（中级）、家庭保健按摩（中级）职业技能等级考核，也可以考取养老护理员（高级）证书、健康照护师（高级）证书。</w:t>
      </w:r>
    </w:p>
    <w:p w14:paraId="6204D028">
      <w:pPr>
        <w:widowControl/>
        <w:spacing w:line="360" w:lineRule="auto"/>
        <w:jc w:val="left"/>
        <w:rPr>
          <w:rStyle w:val="10"/>
          <w:rFonts w:hint="eastAsia" w:ascii="楷体_GB2312" w:hAnsi="楷体_GB2312" w:eastAsia="楷体_GB2312" w:cs="楷体_GB2312"/>
          <w:bCs/>
          <w:spacing w:val="8"/>
          <w:kern w:val="0"/>
          <w:sz w:val="24"/>
          <w:szCs w:val="24"/>
          <w:shd w:val="clear" w:color="auto" w:fill="FFFFFF"/>
          <w:lang w:val="en-US" w:eastAsia="zh-CN" w:bidi="ar"/>
        </w:rPr>
      </w:pPr>
      <w:r>
        <w:rPr>
          <w:rStyle w:val="10"/>
          <w:rFonts w:hint="eastAsia" w:ascii="楷体_GB2312" w:hAnsi="楷体_GB2312" w:eastAsia="楷体_GB2312" w:cs="楷体_GB2312"/>
          <w:bCs/>
          <w:spacing w:val="8"/>
          <w:kern w:val="0"/>
          <w:sz w:val="24"/>
          <w:szCs w:val="24"/>
          <w:shd w:val="clear" w:color="auto" w:fill="FFFFFF"/>
          <w:lang w:val="en-US" w:eastAsia="zh-CN" w:bidi="ar"/>
        </w:rPr>
        <w:t>七、丰富多彩的专业校园文化活动</w:t>
      </w:r>
    </w:p>
    <w:p w14:paraId="70DAD55C">
      <w:pPr>
        <w:spacing w:line="360" w:lineRule="auto"/>
        <w:ind w:firstLine="480" w:firstLineChars="200"/>
        <w:rPr>
          <w:rFonts w:hint="eastAsia" w:ascii="仿宋" w:hAnsi="仿宋" w:eastAsia="仿宋" w:cs="仿宋"/>
          <w:sz w:val="28"/>
          <w:szCs w:val="28"/>
          <w:lang w:val="en-US" w:eastAsia="zh-CN"/>
        </w:rPr>
      </w:pPr>
      <w:r>
        <w:rPr>
          <w:rFonts w:hint="eastAsia" w:ascii="楷体_GB2312" w:hAnsi="楷体_GB2312" w:eastAsia="楷体_GB2312" w:cs="楷体_GB2312"/>
          <w:kern w:val="0"/>
          <w:sz w:val="24"/>
          <w:szCs w:val="24"/>
          <w:shd w:val="clear" w:color="auto" w:fill="FFFFFF"/>
          <w:lang w:val="en-US" w:eastAsia="zh-CN"/>
        </w:rPr>
        <w:t>各类专业活动丰富多彩：每两周一次主题党团活动，依托专业社团开展丰富的社会服务及专业实践活动，各类文体社团活动等。丰富多彩的专业活动不断提高智慧健康养老服务与管理专业教学质量和学生职业技能水平，培养学生的思维能力、动手能力和实践创新能力，丰富了学生的日常文化生活，为学生的求学生涯增光添彩。</w:t>
      </w:r>
    </w:p>
    <w:p w14:paraId="77092630">
      <w:pPr>
        <w:widowControl/>
        <w:spacing w:line="360" w:lineRule="auto"/>
        <w:jc w:val="left"/>
        <w:rPr>
          <w:rStyle w:val="10"/>
          <w:rFonts w:hint="eastAsia" w:ascii="楷体_GB2312" w:hAnsi="楷体_GB2312" w:eastAsia="楷体_GB2312" w:cs="楷体_GB2312"/>
          <w:bCs/>
          <w:spacing w:val="8"/>
          <w:kern w:val="0"/>
          <w:sz w:val="24"/>
          <w:szCs w:val="24"/>
          <w:shd w:val="clear" w:color="auto" w:fill="FFFFFF"/>
          <w:lang w:val="en-US" w:eastAsia="zh-CN" w:bidi="ar"/>
        </w:rPr>
      </w:pPr>
      <w:r>
        <w:rPr>
          <w:rStyle w:val="10"/>
          <w:rFonts w:hint="eastAsia" w:ascii="楷体_GB2312" w:hAnsi="楷体_GB2312" w:eastAsia="楷体_GB2312" w:cs="楷体_GB2312"/>
          <w:bCs/>
          <w:spacing w:val="8"/>
          <w:kern w:val="0"/>
          <w:sz w:val="24"/>
          <w:szCs w:val="24"/>
          <w:shd w:val="clear" w:color="auto" w:fill="FFFFFF"/>
          <w:lang w:val="en-US" w:eastAsia="zh-CN" w:bidi="ar"/>
        </w:rPr>
        <w:t>八、招生政策</w:t>
      </w:r>
    </w:p>
    <w:p w14:paraId="1684CD97">
      <w:pPr>
        <w:pStyle w:val="5"/>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rPr>
        <w:t>夏季高考考生需参加山东省统一组织的文化课考试。考生按照山东省教育招生考试院</w:t>
      </w:r>
      <w:r>
        <w:rPr>
          <w:rFonts w:ascii="楷体" w:hAnsi="楷体" w:eastAsia="楷体"/>
          <w:color w:val="auto"/>
        </w:rPr>
        <w:t>高职（专科）</w:t>
      </w:r>
      <w:r>
        <w:rPr>
          <w:rFonts w:hint="eastAsia" w:ascii="楷体_GB2312" w:hAnsi="楷体_GB2312" w:eastAsia="楷体_GB2312" w:cs="楷体_GB2312"/>
          <w:color w:val="auto"/>
          <w:shd w:val="clear" w:color="auto" w:fill="FFFFFF"/>
        </w:rPr>
        <w:t>填报志愿的时间段登录省招考院网站填报济南护理职业学院高考志愿</w:t>
      </w:r>
      <w:r>
        <w:rPr>
          <w:rFonts w:hint="eastAsia" w:ascii="楷体_GB2312" w:hAnsi="楷体_GB2312" w:eastAsia="楷体_GB2312" w:cs="楷体_GB2312"/>
          <w:color w:val="auto"/>
          <w:shd w:val="clear" w:color="auto" w:fill="FFFFFF"/>
          <w:lang w:eastAsia="zh-CN"/>
        </w:rPr>
        <w:t>。</w:t>
      </w:r>
    </w:p>
    <w:p w14:paraId="2CC9DB19">
      <w:pPr>
        <w:pStyle w:val="5"/>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春季高考考生需参加</w:t>
      </w:r>
      <w:bookmarkStart w:id="1" w:name="_Hlk100866660"/>
      <w:r>
        <w:rPr>
          <w:rFonts w:hint="eastAsia" w:ascii="楷体_GB2312" w:hAnsi="楷体_GB2312" w:eastAsia="楷体_GB2312" w:cs="楷体_GB2312"/>
          <w:color w:val="auto"/>
          <w:shd w:val="clear" w:color="auto" w:fill="FFFFFF"/>
        </w:rPr>
        <w:t>山东省统一组织的</w:t>
      </w:r>
      <w:bookmarkEnd w:id="1"/>
      <w:r>
        <w:rPr>
          <w:rFonts w:hint="eastAsia" w:ascii="楷体_GB2312" w:hAnsi="楷体_GB2312" w:eastAsia="楷体_GB2312" w:cs="楷体_GB2312"/>
          <w:color w:val="auto"/>
          <w:shd w:val="clear" w:color="auto" w:fill="FFFFFF"/>
        </w:rPr>
        <w:t>文化考试和技能测试。考生按照山东省教育招生考试院</w:t>
      </w:r>
      <w:r>
        <w:rPr>
          <w:rFonts w:ascii="楷体" w:hAnsi="楷体" w:eastAsia="楷体"/>
          <w:color w:val="auto"/>
        </w:rPr>
        <w:t>高职（专科）</w:t>
      </w:r>
      <w:r>
        <w:rPr>
          <w:rFonts w:hint="eastAsia" w:ascii="楷体_GB2312" w:hAnsi="楷体_GB2312" w:eastAsia="楷体_GB2312" w:cs="楷体_GB2312"/>
          <w:color w:val="auto"/>
          <w:shd w:val="clear" w:color="auto" w:fill="FFFFFF"/>
        </w:rPr>
        <w:t>填报志愿的时间段登录省招考院网站填报济南护理职业学院高考志愿。</w:t>
      </w:r>
    </w:p>
    <w:p w14:paraId="0A7CE10B">
      <w:pPr>
        <w:spacing w:line="360" w:lineRule="auto"/>
        <w:ind w:firstLine="420" w:firstLineChars="200"/>
        <w:rPr>
          <w:rFonts w:hint="eastAsia" w:ascii="仿宋" w:hAnsi="仿宋" w:eastAsia="仿宋" w:cs="仿宋"/>
          <w:color w:val="auto"/>
          <w:sz w:val="28"/>
          <w:szCs w:val="28"/>
          <w:lang w:val="en-US" w:eastAsia="zh-CN"/>
        </w:rPr>
      </w:pPr>
      <w:r>
        <w:rPr>
          <w:rFonts w:hint="eastAsia" w:ascii="楷体_GB2312" w:hAnsi="楷体_GB2312" w:eastAsia="楷体_GB2312" w:cs="楷体_GB2312"/>
          <w:color w:val="auto"/>
          <w:shd w:val="clear" w:color="auto" w:fill="FFFFFF"/>
          <w:lang w:val="en-US" w:eastAsia="zh-CN"/>
        </w:rPr>
        <w:t>注：各专业招生计划以教育招生考试院批复为准。</w:t>
      </w:r>
    </w:p>
    <w:p w14:paraId="6DCDB59B">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val="en-US" w:eastAsia="zh-CN"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九、贫困生资助</w:t>
      </w:r>
    </w:p>
    <w:p w14:paraId="55EB6125">
      <w:pPr>
        <w:spacing w:line="360" w:lineRule="auto"/>
        <w:ind w:firstLine="480" w:firstLineChars="200"/>
        <w:rPr>
          <w:rFonts w:hint="eastAsia" w:ascii="仿宋" w:hAnsi="仿宋" w:eastAsia="仿宋" w:cs="仿宋"/>
          <w:color w:val="auto"/>
          <w:sz w:val="28"/>
          <w:szCs w:val="28"/>
          <w:lang w:val="en-US" w:eastAsia="zh-CN"/>
        </w:rPr>
      </w:pPr>
      <w:r>
        <w:rPr>
          <w:rFonts w:hint="eastAsia" w:ascii="楷体_GB2312" w:hAnsi="楷体_GB2312" w:eastAsia="楷体_GB2312" w:cs="楷体_GB2312"/>
          <w:color w:val="auto"/>
          <w:sz w:val="24"/>
          <w:szCs w:val="24"/>
          <w:shd w:val="clear" w:color="auto" w:fill="FFFFFF"/>
          <w:lang w:val="en-US" w:eastAsia="zh-CN"/>
        </w:rPr>
        <w:t>学院</w:t>
      </w:r>
      <w:r>
        <w:rPr>
          <w:rFonts w:hint="eastAsia" w:ascii="楷体_GB2312" w:hAnsi="楷体_GB2312" w:eastAsia="楷体_GB2312" w:cs="楷体_GB2312"/>
          <w:color w:val="auto"/>
          <w:sz w:val="24"/>
          <w:szCs w:val="24"/>
          <w:shd w:val="clear" w:color="auto" w:fill="FFFFFF"/>
        </w:rPr>
        <w:t>通过奖、贷、助、补、免等多种资助方式帮助学生完</w:t>
      </w:r>
      <w:bookmarkStart w:id="3" w:name="_GoBack"/>
      <w:bookmarkEnd w:id="3"/>
      <w:r>
        <w:rPr>
          <w:rFonts w:hint="eastAsia" w:ascii="楷体_GB2312" w:hAnsi="楷体_GB2312" w:eastAsia="楷体_GB2312" w:cs="楷体_GB2312"/>
          <w:color w:val="auto"/>
          <w:sz w:val="24"/>
          <w:szCs w:val="24"/>
          <w:shd w:val="clear" w:color="auto" w:fill="FFFFFF"/>
        </w:rPr>
        <w:t>成学业。家庭经济困难学生可申请助学贷款、“绿色通道”、奖助学金、学费减免、勤工助学等资助项目。资助条件和标准由</w:t>
      </w:r>
      <w:r>
        <w:rPr>
          <w:rFonts w:hint="eastAsia" w:ascii="楷体_GB2312" w:hAnsi="楷体_GB2312" w:eastAsia="楷体_GB2312" w:cs="楷体_GB2312"/>
          <w:color w:val="auto"/>
          <w:sz w:val="24"/>
          <w:szCs w:val="24"/>
          <w:shd w:val="clear" w:color="auto" w:fill="FFFFFF"/>
          <w:lang w:val="en-US" w:eastAsia="zh-CN"/>
        </w:rPr>
        <w:t>学院</w:t>
      </w:r>
      <w:r>
        <w:rPr>
          <w:rFonts w:hint="eastAsia" w:ascii="楷体_GB2312" w:hAnsi="楷体_GB2312" w:eastAsia="楷体_GB2312" w:cs="楷体_GB2312"/>
          <w:color w:val="auto"/>
          <w:sz w:val="24"/>
          <w:szCs w:val="24"/>
          <w:shd w:val="clear" w:color="auto" w:fill="FFFFFF"/>
        </w:rPr>
        <w:t>根据学生家庭经济情况，按照省财政厅、省教育厅等5部门《山东省学生资助资金管理办法》（鲁财科教〔2022〕17 号）以及</w:t>
      </w:r>
      <w:r>
        <w:rPr>
          <w:rFonts w:hint="eastAsia" w:ascii="楷体_GB2312" w:hAnsi="楷体_GB2312" w:eastAsia="楷体_GB2312" w:cs="楷体_GB2312"/>
          <w:color w:val="auto"/>
          <w:sz w:val="24"/>
          <w:szCs w:val="24"/>
          <w:shd w:val="clear" w:color="auto" w:fill="FFFFFF"/>
          <w:lang w:val="en-US" w:eastAsia="zh-CN"/>
        </w:rPr>
        <w:t>学院</w:t>
      </w:r>
      <w:r>
        <w:rPr>
          <w:rFonts w:hint="eastAsia" w:ascii="楷体_GB2312" w:hAnsi="楷体_GB2312" w:eastAsia="楷体_GB2312" w:cs="楷体_GB2312"/>
          <w:color w:val="auto"/>
          <w:sz w:val="24"/>
          <w:szCs w:val="24"/>
          <w:shd w:val="clear" w:color="auto" w:fill="FFFFFF"/>
        </w:rPr>
        <w:t>相关规定执行。</w:t>
      </w:r>
    </w:p>
    <w:p w14:paraId="702A583F">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val="en-US" w:eastAsia="zh-CN"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十、收费标准</w:t>
      </w:r>
    </w:p>
    <w:p w14:paraId="436B2657">
      <w:pPr>
        <w:pStyle w:val="5"/>
        <w:widowControl/>
        <w:spacing w:beforeAutospacing="0" w:afterAutospacing="0" w:line="360" w:lineRule="auto"/>
        <w:ind w:firstLine="480" w:firstLineChars="200"/>
        <w:jc w:val="both"/>
        <w:rPr>
          <w:rFonts w:hint="eastAsia" w:ascii="仿宋" w:hAnsi="仿宋" w:eastAsia="仿宋" w:cs="仿宋"/>
          <w:color w:val="auto"/>
          <w:sz w:val="28"/>
          <w:szCs w:val="28"/>
          <w:lang w:val="en-US" w:eastAsia="zh-CN"/>
        </w:rPr>
      </w:pPr>
      <w:r>
        <w:rPr>
          <w:rFonts w:hint="default" w:ascii="楷体_GB2312" w:hAnsi="楷体_GB2312" w:eastAsia="楷体_GB2312" w:cs="楷体_GB2312"/>
          <w:color w:val="auto"/>
          <w:shd w:val="clear" w:color="auto" w:fill="FFFFFF"/>
          <w:lang w:val="en-US" w:eastAsia="zh-CN"/>
        </w:rPr>
        <w:t>学费标准按照《山东省发展和改革委员会 山东省财政厅 山东省教育厅关于规范完善高校学费收费政策的通知》(鲁发改价格〔2023〕559号)文件执行。退费按照国家和省相关规定执行。</w:t>
      </w:r>
    </w:p>
    <w:p w14:paraId="5E5F8A98">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bookmarkStart w:id="2" w:name="_Toc35345012"/>
      <w:r>
        <w:rPr>
          <w:rStyle w:val="10"/>
          <w:rFonts w:hint="eastAsia" w:ascii="楷体_GB2312" w:hAnsi="楷体_GB2312" w:eastAsia="楷体_GB2312" w:cs="楷体_GB2312"/>
          <w:bCs/>
          <w:color w:val="auto"/>
          <w:spacing w:val="8"/>
          <w:kern w:val="0"/>
          <w:sz w:val="24"/>
          <w:szCs w:val="24"/>
          <w:shd w:val="clear" w:color="auto" w:fill="FFFFFF"/>
          <w:lang w:bidi="ar"/>
        </w:rPr>
        <w:t>十</w:t>
      </w: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一</w:t>
      </w:r>
      <w:r>
        <w:rPr>
          <w:rStyle w:val="10"/>
          <w:rFonts w:hint="eastAsia" w:ascii="楷体_GB2312" w:hAnsi="楷体_GB2312" w:eastAsia="楷体_GB2312" w:cs="楷体_GB2312"/>
          <w:bCs/>
          <w:color w:val="auto"/>
          <w:spacing w:val="8"/>
          <w:kern w:val="0"/>
          <w:sz w:val="24"/>
          <w:szCs w:val="24"/>
          <w:shd w:val="clear" w:color="auto" w:fill="FFFFFF"/>
          <w:lang w:bidi="ar"/>
        </w:rPr>
        <w:t>、联系方式</w:t>
      </w:r>
      <w:bookmarkEnd w:id="2"/>
    </w:p>
    <w:p w14:paraId="3B753563">
      <w:pPr>
        <w:widowControl/>
        <w:spacing w:line="360" w:lineRule="auto"/>
        <w:ind w:firstLine="480" w:firstLineChars="200"/>
        <w:rPr>
          <w:rFonts w:hint="eastAsia" w:ascii="楷体_GB2312" w:hAnsi="楷体_GB2312" w:eastAsia="楷体_GB2312" w:cs="楷体_GB2312"/>
          <w:color w:val="auto"/>
          <w:kern w:val="0"/>
          <w:sz w:val="24"/>
          <w:szCs w:val="24"/>
          <w:shd w:val="clear" w:color="auto" w:fill="FFFFFF"/>
          <w:lang w:val="en-US" w:eastAsia="zh-CN"/>
        </w:rPr>
      </w:pPr>
      <w:r>
        <w:rPr>
          <w:rFonts w:hint="eastAsia" w:ascii="楷体_GB2312" w:hAnsi="楷体_GB2312" w:eastAsia="楷体_GB2312" w:cs="楷体_GB2312"/>
          <w:color w:val="auto"/>
          <w:kern w:val="0"/>
          <w:sz w:val="24"/>
          <w:szCs w:val="24"/>
          <w:shd w:val="clear" w:color="auto" w:fill="FFFFFF"/>
          <w:lang w:val="en-US" w:eastAsia="zh-CN"/>
        </w:rPr>
        <w:t>系部负责人：王惠礼          联系方式：13864116206</w:t>
      </w:r>
    </w:p>
    <w:p w14:paraId="07BA7D24">
      <w:pPr>
        <w:widowControl/>
        <w:spacing w:line="360" w:lineRule="auto"/>
        <w:ind w:firstLine="480" w:firstLineChars="200"/>
        <w:rPr>
          <w:rFonts w:hint="eastAsia" w:ascii="楷体_GB2312" w:hAnsi="楷体_GB2312" w:eastAsia="楷体_GB2312" w:cs="楷体_GB2312"/>
          <w:color w:val="auto"/>
          <w:kern w:val="0"/>
          <w:sz w:val="24"/>
          <w:szCs w:val="24"/>
          <w:shd w:val="clear" w:color="auto" w:fill="FFFFFF"/>
          <w:lang w:val="en-US" w:eastAsia="zh-CN"/>
        </w:rPr>
      </w:pPr>
      <w:r>
        <w:rPr>
          <w:rFonts w:hint="eastAsia" w:ascii="楷体_GB2312" w:hAnsi="楷体_GB2312" w:eastAsia="楷体_GB2312" w:cs="楷体_GB2312"/>
          <w:color w:val="auto"/>
          <w:kern w:val="0"/>
          <w:sz w:val="24"/>
          <w:szCs w:val="24"/>
          <w:shd w:val="clear" w:color="auto" w:fill="FFFFFF"/>
          <w:lang w:val="en-US" w:eastAsia="zh-CN"/>
        </w:rPr>
        <w:t>专业负责人：张燕 孟浩然     联系方式：15854827662  18366106080</w:t>
      </w:r>
    </w:p>
    <w:p w14:paraId="6502CB5A">
      <w:pPr>
        <w:widowControl/>
        <w:spacing w:line="360" w:lineRule="auto"/>
        <w:ind w:firstLine="480" w:firstLineChars="200"/>
        <w:rPr>
          <w:rFonts w:hint="eastAsia" w:ascii="仿宋" w:hAnsi="仿宋" w:eastAsia="仿宋" w:cs="仿宋"/>
          <w:color w:val="auto"/>
          <w:sz w:val="28"/>
          <w:szCs w:val="28"/>
          <w:lang w:val="en-US" w:eastAsia="zh-CN"/>
        </w:rPr>
      </w:pPr>
      <w:r>
        <w:rPr>
          <w:rFonts w:hint="eastAsia" w:ascii="楷体_GB2312" w:hAnsi="楷体_GB2312" w:eastAsia="楷体_GB2312" w:cs="楷体_GB2312"/>
          <w:color w:val="auto"/>
          <w:kern w:val="0"/>
          <w:sz w:val="24"/>
          <w:szCs w:val="24"/>
          <w:shd w:val="clear" w:color="auto" w:fill="FFFFFF"/>
          <w:lang w:val="en-US" w:eastAsia="zh-CN"/>
        </w:rPr>
        <w:t>招生咨询电话：（0531）58164412、59532205、59822206</w:t>
      </w:r>
    </w:p>
    <w:sectPr>
      <w:pgSz w:w="11906" w:h="16838"/>
      <w:pgMar w:top="1440" w:right="1406" w:bottom="1440" w:left="140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楷体_GB2312">
    <w:panose1 w:val="02010609030101010101"/>
    <w:charset w:val="86"/>
    <w:family w:val="auto"/>
    <w:pitch w:val="default"/>
    <w:sig w:usb0="00000001" w:usb1="080E0000" w:usb2="00000000" w:usb3="00000000" w:csb0="00040000" w:csb1="00000000"/>
    <w:embedRegular r:id="rId1" w:fontKey="{CEB8BBB3-5C88-48C0-8620-7A8CFED0647C}"/>
  </w:font>
  <w:font w:name="仿宋">
    <w:panose1 w:val="02010609060101010101"/>
    <w:charset w:val="86"/>
    <w:family w:val="auto"/>
    <w:pitch w:val="default"/>
    <w:sig w:usb0="800002BF" w:usb1="38CF7CFA" w:usb2="00000016" w:usb3="00000000" w:csb0="00040001" w:csb1="00000000"/>
    <w:embedRegular r:id="rId2" w:fontKey="{D176EB96-93D0-4F4B-AD9D-AD18D29B7E6D}"/>
  </w:font>
  <w:font w:name="楷体">
    <w:panose1 w:val="02010609060101010101"/>
    <w:charset w:val="86"/>
    <w:family w:val="modern"/>
    <w:pitch w:val="default"/>
    <w:sig w:usb0="800002BF" w:usb1="38CF7CFA" w:usb2="00000016" w:usb3="00000000" w:csb0="00040001" w:csb1="00000000"/>
    <w:embedRegular r:id="rId3" w:fontKey="{01755786-62B5-4CD2-A219-510C41E0D6D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DB9334"/>
    <w:multiLevelType w:val="singleLevel"/>
    <w:tmpl w:val="5CDB9334"/>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iOTRmNGMyZTA5MWI5Y2I4Y2VkYWQxYmFiMjEwMjMifQ=="/>
  </w:docVars>
  <w:rsids>
    <w:rsidRoot w:val="00000000"/>
    <w:rsid w:val="005F65CD"/>
    <w:rsid w:val="009224FE"/>
    <w:rsid w:val="00FB5937"/>
    <w:rsid w:val="02477318"/>
    <w:rsid w:val="02647ECA"/>
    <w:rsid w:val="02981BF3"/>
    <w:rsid w:val="034F46D6"/>
    <w:rsid w:val="03E312C3"/>
    <w:rsid w:val="048B7990"/>
    <w:rsid w:val="04B2316F"/>
    <w:rsid w:val="05283431"/>
    <w:rsid w:val="05B11678"/>
    <w:rsid w:val="0616772D"/>
    <w:rsid w:val="06306D29"/>
    <w:rsid w:val="06930D7E"/>
    <w:rsid w:val="06DF3FC3"/>
    <w:rsid w:val="07593D76"/>
    <w:rsid w:val="07CF228A"/>
    <w:rsid w:val="085602B5"/>
    <w:rsid w:val="089808CE"/>
    <w:rsid w:val="0925770E"/>
    <w:rsid w:val="0A877194"/>
    <w:rsid w:val="0ABC321E"/>
    <w:rsid w:val="0B512FB6"/>
    <w:rsid w:val="0BE856C8"/>
    <w:rsid w:val="0C1F4E62"/>
    <w:rsid w:val="0C526EB3"/>
    <w:rsid w:val="0C8A677F"/>
    <w:rsid w:val="0D065EF3"/>
    <w:rsid w:val="0D3C216F"/>
    <w:rsid w:val="0D436541"/>
    <w:rsid w:val="0DDC125D"/>
    <w:rsid w:val="0DF30354"/>
    <w:rsid w:val="0E1327A4"/>
    <w:rsid w:val="0F062495"/>
    <w:rsid w:val="0FF87EA4"/>
    <w:rsid w:val="1077526D"/>
    <w:rsid w:val="10D75D0B"/>
    <w:rsid w:val="11C52008"/>
    <w:rsid w:val="11D30BC8"/>
    <w:rsid w:val="12955E7E"/>
    <w:rsid w:val="12F232D0"/>
    <w:rsid w:val="13135720"/>
    <w:rsid w:val="131E7C21"/>
    <w:rsid w:val="13541895"/>
    <w:rsid w:val="1379754E"/>
    <w:rsid w:val="137B2C9D"/>
    <w:rsid w:val="1461426A"/>
    <w:rsid w:val="14F74D8E"/>
    <w:rsid w:val="15B23B51"/>
    <w:rsid w:val="167A1613"/>
    <w:rsid w:val="17312619"/>
    <w:rsid w:val="17481711"/>
    <w:rsid w:val="17672074"/>
    <w:rsid w:val="17B943BD"/>
    <w:rsid w:val="19597C05"/>
    <w:rsid w:val="19662322"/>
    <w:rsid w:val="19B117EF"/>
    <w:rsid w:val="1A204B22"/>
    <w:rsid w:val="1B882A24"/>
    <w:rsid w:val="1C5D5C5E"/>
    <w:rsid w:val="1C5E437F"/>
    <w:rsid w:val="1CB26453"/>
    <w:rsid w:val="1D0E339D"/>
    <w:rsid w:val="1D187DD7"/>
    <w:rsid w:val="1D3C1D18"/>
    <w:rsid w:val="1D404A34"/>
    <w:rsid w:val="1DD0420E"/>
    <w:rsid w:val="1E4D585F"/>
    <w:rsid w:val="1EC75611"/>
    <w:rsid w:val="1EE461C3"/>
    <w:rsid w:val="20452C91"/>
    <w:rsid w:val="216A60C6"/>
    <w:rsid w:val="22372AAE"/>
    <w:rsid w:val="226D4105"/>
    <w:rsid w:val="22813D29"/>
    <w:rsid w:val="22F4274D"/>
    <w:rsid w:val="235F050E"/>
    <w:rsid w:val="23915220"/>
    <w:rsid w:val="25ED0053"/>
    <w:rsid w:val="26323CB8"/>
    <w:rsid w:val="26527EB6"/>
    <w:rsid w:val="27BB7CDD"/>
    <w:rsid w:val="27DF39CB"/>
    <w:rsid w:val="290F208E"/>
    <w:rsid w:val="29FD0319"/>
    <w:rsid w:val="2A2E0C3A"/>
    <w:rsid w:val="2A750617"/>
    <w:rsid w:val="2B5A0F16"/>
    <w:rsid w:val="2C866B0B"/>
    <w:rsid w:val="2D0F6B01"/>
    <w:rsid w:val="2D4744ED"/>
    <w:rsid w:val="2D985462"/>
    <w:rsid w:val="2ED31FDD"/>
    <w:rsid w:val="2F3E3F5E"/>
    <w:rsid w:val="30063EE1"/>
    <w:rsid w:val="30336FAA"/>
    <w:rsid w:val="30406FD1"/>
    <w:rsid w:val="307F3F9D"/>
    <w:rsid w:val="30CE282F"/>
    <w:rsid w:val="30F06C49"/>
    <w:rsid w:val="33E118EB"/>
    <w:rsid w:val="344352E2"/>
    <w:rsid w:val="344A0DB7"/>
    <w:rsid w:val="379245B6"/>
    <w:rsid w:val="383733B0"/>
    <w:rsid w:val="38581121"/>
    <w:rsid w:val="38883C0B"/>
    <w:rsid w:val="39D32C64"/>
    <w:rsid w:val="3A585FE3"/>
    <w:rsid w:val="3ACC740E"/>
    <w:rsid w:val="3ACE0C35"/>
    <w:rsid w:val="3B6D301C"/>
    <w:rsid w:val="3BDB22D1"/>
    <w:rsid w:val="3C0E0886"/>
    <w:rsid w:val="3C8215FF"/>
    <w:rsid w:val="3C8D5B88"/>
    <w:rsid w:val="3CBC20D5"/>
    <w:rsid w:val="3CC66AB0"/>
    <w:rsid w:val="3D310A59"/>
    <w:rsid w:val="3D37175C"/>
    <w:rsid w:val="3E755E7E"/>
    <w:rsid w:val="3EC24A33"/>
    <w:rsid w:val="3ECF60F0"/>
    <w:rsid w:val="3F255D10"/>
    <w:rsid w:val="3F7D3D9E"/>
    <w:rsid w:val="3FD634AE"/>
    <w:rsid w:val="4114603C"/>
    <w:rsid w:val="424E37D0"/>
    <w:rsid w:val="42C45840"/>
    <w:rsid w:val="42E47C90"/>
    <w:rsid w:val="4387343D"/>
    <w:rsid w:val="45C03B49"/>
    <w:rsid w:val="465A0995"/>
    <w:rsid w:val="467C4DAF"/>
    <w:rsid w:val="46916381"/>
    <w:rsid w:val="46A460B4"/>
    <w:rsid w:val="46B21F99"/>
    <w:rsid w:val="47AA791D"/>
    <w:rsid w:val="49044BE8"/>
    <w:rsid w:val="493A685C"/>
    <w:rsid w:val="496248E4"/>
    <w:rsid w:val="4AE90539"/>
    <w:rsid w:val="4B58121B"/>
    <w:rsid w:val="4C9C5F94"/>
    <w:rsid w:val="4DD723EE"/>
    <w:rsid w:val="4ECB3051"/>
    <w:rsid w:val="50336D8B"/>
    <w:rsid w:val="50616DC4"/>
    <w:rsid w:val="52214A5D"/>
    <w:rsid w:val="52A1794C"/>
    <w:rsid w:val="53EC109A"/>
    <w:rsid w:val="54660E4D"/>
    <w:rsid w:val="55615145"/>
    <w:rsid w:val="5637484F"/>
    <w:rsid w:val="568B4B9B"/>
    <w:rsid w:val="56FE711B"/>
    <w:rsid w:val="57203535"/>
    <w:rsid w:val="584E5E80"/>
    <w:rsid w:val="58C817A8"/>
    <w:rsid w:val="59186B39"/>
    <w:rsid w:val="594378EF"/>
    <w:rsid w:val="59A10231"/>
    <w:rsid w:val="5AE8436A"/>
    <w:rsid w:val="5C1445C4"/>
    <w:rsid w:val="5CA22C3E"/>
    <w:rsid w:val="5CB169DD"/>
    <w:rsid w:val="5CCE3A33"/>
    <w:rsid w:val="5D041203"/>
    <w:rsid w:val="5D290C69"/>
    <w:rsid w:val="5DD20996"/>
    <w:rsid w:val="5E1336A3"/>
    <w:rsid w:val="5E451AD3"/>
    <w:rsid w:val="5ECA1FD8"/>
    <w:rsid w:val="5FBE7D8F"/>
    <w:rsid w:val="5FE33352"/>
    <w:rsid w:val="603D6F06"/>
    <w:rsid w:val="61137C66"/>
    <w:rsid w:val="62A25746"/>
    <w:rsid w:val="634A36E8"/>
    <w:rsid w:val="65167D25"/>
    <w:rsid w:val="6551749A"/>
    <w:rsid w:val="66183BBD"/>
    <w:rsid w:val="67B7688E"/>
    <w:rsid w:val="67BC2E06"/>
    <w:rsid w:val="682E35D8"/>
    <w:rsid w:val="6874548F"/>
    <w:rsid w:val="687C4343"/>
    <w:rsid w:val="69817EA1"/>
    <w:rsid w:val="69AE677E"/>
    <w:rsid w:val="6A445335"/>
    <w:rsid w:val="6AB3359E"/>
    <w:rsid w:val="6AF24D91"/>
    <w:rsid w:val="6AF91C7B"/>
    <w:rsid w:val="6BEA3CBA"/>
    <w:rsid w:val="6C21592D"/>
    <w:rsid w:val="6C64664D"/>
    <w:rsid w:val="6C692E30"/>
    <w:rsid w:val="6C6D6230"/>
    <w:rsid w:val="6C88775B"/>
    <w:rsid w:val="6D807B87"/>
    <w:rsid w:val="6DAC56CB"/>
    <w:rsid w:val="6DB30807"/>
    <w:rsid w:val="6E0A419F"/>
    <w:rsid w:val="6ED74E66"/>
    <w:rsid w:val="6F1C0FE5"/>
    <w:rsid w:val="6F8A5598"/>
    <w:rsid w:val="7000585A"/>
    <w:rsid w:val="70AE6D6B"/>
    <w:rsid w:val="70C66AA3"/>
    <w:rsid w:val="71926986"/>
    <w:rsid w:val="71C034F3"/>
    <w:rsid w:val="71CA4371"/>
    <w:rsid w:val="71D451F0"/>
    <w:rsid w:val="72077373"/>
    <w:rsid w:val="720B0610"/>
    <w:rsid w:val="7238752D"/>
    <w:rsid w:val="72526EE9"/>
    <w:rsid w:val="725463CE"/>
    <w:rsid w:val="73B726D3"/>
    <w:rsid w:val="74C4779E"/>
    <w:rsid w:val="74DD260E"/>
    <w:rsid w:val="74E7348C"/>
    <w:rsid w:val="75B570E6"/>
    <w:rsid w:val="75E1341E"/>
    <w:rsid w:val="76967C55"/>
    <w:rsid w:val="77242776"/>
    <w:rsid w:val="773506BA"/>
    <w:rsid w:val="777F175A"/>
    <w:rsid w:val="779531A8"/>
    <w:rsid w:val="78342545"/>
    <w:rsid w:val="78897A7E"/>
    <w:rsid w:val="7A0D74F1"/>
    <w:rsid w:val="7A1C14E2"/>
    <w:rsid w:val="7A3031E0"/>
    <w:rsid w:val="7A5C2227"/>
    <w:rsid w:val="7AF97A75"/>
    <w:rsid w:val="7B7D4202"/>
    <w:rsid w:val="7B9077B2"/>
    <w:rsid w:val="7C262AEC"/>
    <w:rsid w:val="7C305719"/>
    <w:rsid w:val="7C846E57"/>
    <w:rsid w:val="7CB63E70"/>
    <w:rsid w:val="7D82575D"/>
    <w:rsid w:val="7DA55C93"/>
    <w:rsid w:val="7DB639FC"/>
    <w:rsid w:val="7DD00F61"/>
    <w:rsid w:val="7DD722F0"/>
    <w:rsid w:val="7E9755DB"/>
    <w:rsid w:val="7F0864D9"/>
    <w:rsid w:val="7FFF2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240" w:lineRule="exact"/>
      <w:outlineLvl w:val="0"/>
    </w:pPr>
    <w:rPr>
      <w:b/>
      <w:bCs/>
      <w:kern w:val="44"/>
      <w:sz w:val="44"/>
      <w:szCs w:val="44"/>
    </w:rPr>
  </w:style>
  <w:style w:type="paragraph" w:styleId="3">
    <w:name w:val="heading 2"/>
    <w:basedOn w:val="1"/>
    <w:next w:val="1"/>
    <w:unhideWhenUsed/>
    <w:qFormat/>
    <w:uiPriority w:val="0"/>
    <w:pPr>
      <w:keepNext/>
      <w:keepLines/>
      <w:spacing w:before="260" w:after="260" w:line="200" w:lineRule="exact"/>
      <w:outlineLvl w:val="1"/>
    </w:pPr>
    <w:rPr>
      <w:rFonts w:asciiTheme="majorHAnsi" w:hAnsiTheme="majorHAnsi" w:eastAsiaTheme="majorEastAsia" w:cstheme="majorBidi"/>
      <w:b/>
      <w:bCs/>
      <w:sz w:val="32"/>
      <w:szCs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Indent"/>
    <w:basedOn w:val="1"/>
    <w:qFormat/>
    <w:uiPriority w:val="0"/>
    <w:pPr>
      <w:spacing w:after="120"/>
      <w:ind w:left="420" w:leftChars="200"/>
    </w:p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Body Text First Indent 2"/>
    <w:basedOn w:val="4"/>
    <w:qFormat/>
    <w:uiPriority w:val="0"/>
    <w:pPr>
      <w:spacing w:after="0" w:line="560" w:lineRule="exact"/>
      <w:ind w:left="0" w:leftChars="0" w:firstLine="420" w:firstLineChars="200"/>
    </w:pPr>
    <w:rPr>
      <w:rFonts w:ascii="Times New Roman" w:hAnsi="Times New Roman"/>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2763</Words>
  <Characters>2904</Characters>
  <Lines>0</Lines>
  <Paragraphs>0</Paragraphs>
  <TotalTime>3</TotalTime>
  <ScaleCrop>false</ScaleCrop>
  <LinksUpToDate>false</LinksUpToDate>
  <CharactersWithSpaces>2926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2023-08-30T03:53:00Z</dcterms:created>
  <dc:creator>86158</dc:creator>
  <cp:lastModifiedBy>yun</cp:lastModifiedBy>
  <dcterms:modified xsi:type="dcterms:W3CDTF">2025-04-11T03:06:56Z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0878D9376F174A82A8E9A68AA918D1AD_13</vt:lpwstr>
  </property>
  <property fmtid="{D5CDD505-2E9C-101B-9397-08002B2CF9AE}" pid="4" name="KSOTemplateDocerSaveRecord">
    <vt:lpwstr>eyJoZGlkIjoiZTg2MTU0MmY0ZGI2ZDNlMGU2MmVkOTZiOGJhNDRiNjEiLCJ1c2VySWQiOiI0MDg2OTE3NTEifQ==</vt:lpwstr>
  </property>
</Properties>
</file>