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7B2F6B6">
      <w:pPr>
        <w:pStyle w:val="3"/>
        <w:widowControl/>
        <w:spacing w:beforeAutospacing="0" w:after="120" w:afterAutospacing="0"/>
        <w:jc w:val="center"/>
        <w:rPr>
          <w:rFonts w:hint="eastAsia" w:ascii="楷体_GB2312" w:hAnsi="楷体_GB2312" w:eastAsia="楷体_GB2312" w:cs="楷体_GB2312"/>
          <w:bCs w:val="0"/>
          <w:color w:val="auto"/>
          <w:spacing w:val="8"/>
          <w:kern w:val="0"/>
          <w:shd w:val="clear" w:color="auto" w:fill="FFFFFF"/>
        </w:rPr>
      </w:pPr>
      <w:r>
        <w:rPr>
          <w:rFonts w:hint="eastAsia" w:ascii="楷体_GB2312" w:hAnsi="楷体_GB2312" w:eastAsia="楷体_GB2312" w:cs="楷体_GB2312"/>
          <w:bCs w:val="0"/>
          <w:color w:val="auto"/>
          <w:spacing w:val="8"/>
          <w:kern w:val="0"/>
          <w:shd w:val="clear" w:color="auto" w:fill="FFFFFF"/>
        </w:rPr>
        <w:t>中药学专业深度解读</w:t>
      </w:r>
    </w:p>
    <w:p w14:paraId="4BCFE4DA">
      <w:pPr>
        <w:rPr>
          <w:rFonts w:hint="default"/>
          <w:color w:val="auto"/>
        </w:rPr>
      </w:pPr>
    </w:p>
    <w:p w14:paraId="4BC078CB">
      <w:pPr>
        <w:widowControl/>
        <w:spacing w:line="360" w:lineRule="auto"/>
        <w:jc w:val="left"/>
        <w:rPr>
          <w:rStyle w:val="11"/>
          <w:rFonts w:hint="eastAsia" w:ascii="楷体_GB2312" w:hAnsi="楷体_GB2312" w:eastAsia="楷体_GB2312" w:cs="楷体_GB2312"/>
          <w:bCs/>
          <w:color w:val="auto"/>
          <w:spacing w:val="8"/>
          <w:kern w:val="0"/>
          <w:sz w:val="24"/>
          <w:szCs w:val="24"/>
          <w:shd w:val="clear" w:color="auto" w:fill="FFFFFF"/>
          <w:lang w:bidi="ar"/>
        </w:rPr>
      </w:pPr>
      <w:r>
        <w:rPr>
          <w:rStyle w:val="11"/>
          <w:rFonts w:hint="eastAsia" w:ascii="楷体_GB2312" w:hAnsi="楷体_GB2312" w:eastAsia="楷体_GB2312" w:cs="楷体_GB2312"/>
          <w:bCs/>
          <w:color w:val="auto"/>
          <w:spacing w:val="8"/>
          <w:kern w:val="0"/>
          <w:sz w:val="24"/>
          <w:szCs w:val="24"/>
          <w:shd w:val="clear" w:color="auto" w:fill="FFFFFF"/>
          <w:lang w:bidi="ar"/>
        </w:rPr>
        <w:t>一、培养目标</w:t>
      </w:r>
    </w:p>
    <w:p w14:paraId="28A17AC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楷体_GB2312" w:hAnsi="楷体_GB2312" w:eastAsia="楷体_GB2312" w:cs="楷体_GB2312"/>
          <w:color w:val="auto"/>
          <w:kern w:val="0"/>
          <w:sz w:val="24"/>
          <w:szCs w:val="24"/>
          <w:shd w:val="clear" w:color="auto" w:fill="FFFFFF"/>
          <w:lang w:val="en-US" w:eastAsia="zh-CN" w:bidi="ar-SA"/>
        </w:rPr>
      </w:pPr>
      <w:r>
        <w:rPr>
          <w:rFonts w:hint="eastAsia" w:ascii="楷体_GB2312" w:hAnsi="楷体_GB2312" w:eastAsia="楷体_GB2312" w:cs="楷体_GB2312"/>
          <w:color w:val="auto"/>
          <w:kern w:val="0"/>
          <w:sz w:val="24"/>
          <w:szCs w:val="24"/>
          <w:shd w:val="clear" w:color="auto" w:fill="FFFFFF"/>
          <w:lang w:val="en-US" w:eastAsia="zh-CN" w:bidi="ar-SA"/>
        </w:rPr>
        <w:t>本专业致力于中医药传承与创新，培养德、智、体、美、劳全面发展，具有良好职业道德和人文素养，掌握本专业知识和技术技能，具备职业综合素质和行动能力，面向卫生、医药制造业、专业技术服务业等行业的中药师、中药炮制工、药物制剂工、药物检验员、医药商品购销员等职业，培养从事中药调剂、中药学咨询与服务、中药饮片生产、中药制剂生产、中药质检、中药购销等岗位（群）及药品研究与开发等工作的高素质技术技能人才。</w:t>
      </w:r>
    </w:p>
    <w:p w14:paraId="08076DBA">
      <w:pPr>
        <w:widowControl/>
        <w:spacing w:line="360" w:lineRule="auto"/>
        <w:jc w:val="left"/>
        <w:rPr>
          <w:rStyle w:val="11"/>
          <w:rFonts w:hint="eastAsia" w:ascii="楷体_GB2312" w:hAnsi="楷体_GB2312" w:eastAsia="楷体_GB2312" w:cs="楷体_GB2312"/>
          <w:bCs/>
          <w:color w:val="auto"/>
          <w:spacing w:val="8"/>
          <w:kern w:val="0"/>
          <w:sz w:val="24"/>
          <w:szCs w:val="24"/>
          <w:shd w:val="clear" w:color="auto" w:fill="FFFFFF"/>
          <w:lang w:bidi="ar"/>
        </w:rPr>
      </w:pPr>
      <w:r>
        <w:rPr>
          <w:rStyle w:val="11"/>
          <w:rFonts w:hint="eastAsia" w:ascii="楷体_GB2312" w:hAnsi="楷体_GB2312" w:eastAsia="楷体_GB2312" w:cs="楷体_GB2312"/>
          <w:bCs/>
          <w:color w:val="auto"/>
          <w:spacing w:val="8"/>
          <w:kern w:val="0"/>
          <w:sz w:val="24"/>
          <w:szCs w:val="24"/>
          <w:shd w:val="clear" w:color="auto" w:fill="FFFFFF"/>
          <w:lang w:bidi="ar"/>
        </w:rPr>
        <w:t>二、师资力量</w:t>
      </w:r>
    </w:p>
    <w:p w14:paraId="0954AFE3">
      <w:pPr>
        <w:spacing w:line="360" w:lineRule="auto"/>
        <w:ind w:firstLine="480" w:firstLineChars="200"/>
        <w:rPr>
          <w:rFonts w:hint="eastAsia" w:ascii="楷体_GB2312" w:hAnsi="楷体_GB2312" w:eastAsia="楷体_GB2312" w:cs="楷体_GB2312"/>
          <w:color w:val="auto"/>
          <w:kern w:val="0"/>
          <w:sz w:val="24"/>
          <w:szCs w:val="24"/>
          <w:shd w:val="clear" w:color="auto" w:fill="FFFFFF"/>
          <w:lang w:val="en-US" w:eastAsia="zh-CN" w:bidi="ar-SA"/>
        </w:rPr>
      </w:pPr>
      <w:r>
        <w:rPr>
          <w:rFonts w:hint="eastAsia" w:ascii="楷体_GB2312" w:hAnsi="楷体_GB2312" w:eastAsia="楷体_GB2312" w:cs="楷体_GB2312"/>
          <w:color w:val="auto"/>
          <w:kern w:val="0"/>
          <w:sz w:val="24"/>
          <w:szCs w:val="24"/>
          <w:shd w:val="clear" w:color="auto" w:fill="FFFFFF"/>
          <w:lang w:val="en-US" w:eastAsia="zh-CN" w:bidi="ar-SA"/>
        </w:rPr>
        <w:t>中药学专业教学团队现有专兼职教师43人，80%以上具有博士、硕士学位，高级职称比例40%，双师型75%，形成了“一体两队两中心”的师资建设与人才培养平台，即“济南市现代中药产业产教融合共同体、省级双师教学团队、省级教育教学创新团队、山东省传统技能传承创新平台、山东省高等学校新技术研发中心”。现有省级教学名师2人，院级教学名师3人，山东省优秀教师1人，山东省骨干教师访问学者1人，山东省教育科学研究院访问学者1人，济南市青年学术技术带头人1人，济南市优秀科技工作者1人，济南市卫生系统专业技术拔尖人才1人，济南市卫健系统杰出青年技术创新能手1人等。完成横、纵向科研课题30余项，发表学术论文100余篇，出版教材专著30余部。</w:t>
      </w:r>
    </w:p>
    <w:p w14:paraId="6D8DB20E">
      <w:pPr>
        <w:pStyle w:val="7"/>
        <w:keepNext w:val="0"/>
        <w:keepLines w:val="0"/>
        <w:pageBreakBefore w:val="0"/>
        <w:widowControl/>
        <w:kinsoku/>
        <w:wordWrap/>
        <w:overflowPunct/>
        <w:topLinePunct w:val="0"/>
        <w:autoSpaceDE/>
        <w:autoSpaceDN/>
        <w:bidi w:val="0"/>
        <w:adjustRightInd/>
        <w:snapToGrid/>
        <w:spacing w:beforeAutospacing="0" w:afterAutospacing="0" w:line="360" w:lineRule="auto"/>
        <w:jc w:val="center"/>
        <w:textAlignment w:val="auto"/>
        <w:rPr>
          <w:rFonts w:hint="eastAsia" w:ascii="楷体_GB2312" w:hAnsi="楷体_GB2312" w:eastAsia="楷体_GB2312" w:cs="楷体_GB2312"/>
          <w:color w:val="auto"/>
          <w:shd w:val="clear" w:color="auto" w:fill="FFFFFF"/>
        </w:rPr>
      </w:pPr>
      <w:r>
        <w:rPr>
          <w:rFonts w:hint="eastAsia" w:ascii="楷体_GB2312" w:hAnsi="楷体_GB2312" w:eastAsia="楷体_GB2312" w:cs="楷体_GB2312"/>
          <w:color w:val="auto"/>
          <w:shd w:val="clear" w:color="auto" w:fill="FFFFFF"/>
          <w:vertAlign w:val="baseline"/>
          <w:lang w:eastAsia="zh-CN"/>
        </w:rPr>
        <w:drawing>
          <wp:inline distT="0" distB="0" distL="114300" distR="114300">
            <wp:extent cx="3818255" cy="2572385"/>
            <wp:effectExtent l="0" t="0" r="10795" b="18415"/>
            <wp:docPr id="4" name="图片 4" descr="6ecee2e12e74a507c84d70467b75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6ecee2e12e74a507c84d70467b75420"/>
                    <pic:cNvPicPr>
                      <a:picLocks noChangeAspect="1"/>
                    </pic:cNvPicPr>
                  </pic:nvPicPr>
                  <pic:blipFill>
                    <a:blip r:embed="rId4"/>
                    <a:stretch>
                      <a:fillRect/>
                    </a:stretch>
                  </pic:blipFill>
                  <pic:spPr>
                    <a:xfrm>
                      <a:off x="0" y="0"/>
                      <a:ext cx="3818255" cy="2572385"/>
                    </a:xfrm>
                    <a:prstGeom prst="rect">
                      <a:avLst/>
                    </a:prstGeom>
                  </pic:spPr>
                </pic:pic>
              </a:graphicData>
            </a:graphic>
          </wp:inline>
        </w:drawing>
      </w:r>
    </w:p>
    <w:p w14:paraId="58D0FC03">
      <w:pPr>
        <w:widowControl/>
        <w:spacing w:line="360" w:lineRule="auto"/>
        <w:jc w:val="left"/>
        <w:rPr>
          <w:rStyle w:val="11"/>
          <w:rFonts w:hint="eastAsia" w:ascii="楷体_GB2312" w:hAnsi="楷体_GB2312" w:eastAsia="楷体_GB2312" w:cs="楷体_GB2312"/>
          <w:bCs/>
          <w:color w:val="auto"/>
          <w:spacing w:val="8"/>
          <w:kern w:val="0"/>
          <w:sz w:val="24"/>
          <w:szCs w:val="24"/>
          <w:shd w:val="clear" w:color="auto" w:fill="FFFFFF"/>
          <w:lang w:bidi="ar"/>
        </w:rPr>
      </w:pPr>
    </w:p>
    <w:p w14:paraId="418A45E0">
      <w:pPr>
        <w:widowControl/>
        <w:spacing w:line="360" w:lineRule="auto"/>
        <w:jc w:val="left"/>
        <w:rPr>
          <w:rStyle w:val="11"/>
          <w:rFonts w:hint="eastAsia" w:ascii="楷体_GB2312" w:hAnsi="楷体_GB2312" w:eastAsia="楷体_GB2312" w:cs="楷体_GB2312"/>
          <w:bCs/>
          <w:color w:val="auto"/>
          <w:spacing w:val="8"/>
          <w:kern w:val="0"/>
          <w:sz w:val="24"/>
          <w:szCs w:val="24"/>
          <w:shd w:val="clear" w:color="auto" w:fill="FFFFFF"/>
          <w:lang w:bidi="ar"/>
        </w:rPr>
      </w:pPr>
      <w:bookmarkStart w:id="4" w:name="_GoBack"/>
      <w:bookmarkEnd w:id="4"/>
      <w:r>
        <w:rPr>
          <w:rStyle w:val="11"/>
          <w:rFonts w:hint="eastAsia" w:ascii="楷体_GB2312" w:hAnsi="楷体_GB2312" w:eastAsia="楷体_GB2312" w:cs="楷体_GB2312"/>
          <w:bCs/>
          <w:color w:val="auto"/>
          <w:spacing w:val="8"/>
          <w:kern w:val="0"/>
          <w:sz w:val="24"/>
          <w:szCs w:val="24"/>
          <w:shd w:val="clear" w:color="auto" w:fill="FFFFFF"/>
          <w:lang w:bidi="ar"/>
        </w:rPr>
        <w:t>三、专业特色</w:t>
      </w:r>
    </w:p>
    <w:p w14:paraId="3311376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楷体_GB2312" w:hAnsi="楷体_GB2312" w:eastAsia="楷体_GB2312" w:cs="楷体_GB2312"/>
          <w:color w:val="auto"/>
          <w:kern w:val="0"/>
          <w:sz w:val="24"/>
          <w:szCs w:val="24"/>
          <w:shd w:val="clear" w:color="auto" w:fill="FFFFFF"/>
          <w:lang w:val="en-US" w:eastAsia="zh-CN" w:bidi="ar-SA"/>
        </w:rPr>
      </w:pPr>
      <w:r>
        <w:rPr>
          <w:rFonts w:hint="eastAsia" w:ascii="楷体_GB2312" w:hAnsi="楷体_GB2312" w:eastAsia="楷体_GB2312" w:cs="楷体_GB2312"/>
          <w:color w:val="auto"/>
          <w:kern w:val="0"/>
          <w:sz w:val="24"/>
          <w:szCs w:val="24"/>
          <w:shd w:val="clear" w:color="auto" w:fill="FFFFFF"/>
          <w:lang w:val="en-US" w:eastAsia="zh-CN" w:bidi="ar-SA"/>
        </w:rPr>
        <w:t>1953年建校，我院中药学专业已有七十多年的历史，教学经验丰富，人才培养体系成熟。该专业是教育部中央财政支持“高等职业学校提升专业服务产业发展能力”项目建设专业、山东省高等职业院校品牌专业群专业、济南市产教融合示范专业、济南市现代学徒制试点专业；获评</w:t>
      </w:r>
      <w:r>
        <w:rPr>
          <w:rFonts w:hint="default" w:ascii="楷体_GB2312" w:hAnsi="楷体_GB2312" w:eastAsia="楷体_GB2312" w:cs="楷体_GB2312"/>
          <w:color w:val="auto"/>
          <w:kern w:val="0"/>
          <w:sz w:val="24"/>
          <w:szCs w:val="24"/>
          <w:shd w:val="clear" w:color="auto" w:fill="FFFFFF"/>
          <w:lang w:val="en-US" w:eastAsia="zh-CN" w:bidi="ar-SA"/>
        </w:rPr>
        <w:t>全国老药工传承工作室建设项目</w:t>
      </w:r>
      <w:r>
        <w:rPr>
          <w:rFonts w:hint="eastAsia" w:ascii="楷体_GB2312" w:hAnsi="楷体_GB2312" w:eastAsia="楷体_GB2312" w:cs="楷体_GB2312"/>
          <w:color w:val="auto"/>
          <w:kern w:val="0"/>
          <w:sz w:val="24"/>
          <w:szCs w:val="24"/>
          <w:shd w:val="clear" w:color="auto" w:fill="FFFFFF"/>
          <w:lang w:val="en-US" w:eastAsia="zh-CN" w:bidi="ar-SA"/>
        </w:rPr>
        <w:t>、山东省职业教育“技能大师工作室”建设项目、山东省职业教育技艺技能传承创新平台建设项目、服务济南优质特色专业建设项目、济南市职业体验试点培育项目；2门课程为山东省精品资源共享课，5门课程为院级精品资源课。该专业人才培养融课程思政、专业知识、人文素养、职业精神、职业能力培养于一体，校企融合、共同育人是该专业特色化建设的一大亮点。</w:t>
      </w:r>
    </w:p>
    <w:p w14:paraId="1025C189">
      <w:pPr>
        <w:pStyle w:val="7"/>
        <w:widowControl/>
        <w:spacing w:before="226" w:beforeAutospacing="0" w:after="226" w:afterAutospacing="0" w:line="360" w:lineRule="auto"/>
        <w:jc w:val="left"/>
        <w:rPr>
          <w:rFonts w:hint="eastAsia" w:ascii="楷体_GB2312" w:hAnsi="楷体_GB2312" w:eastAsia="楷体_GB2312" w:cs="楷体_GB2312"/>
          <w:color w:val="auto"/>
          <w:lang w:eastAsia="zh-CN"/>
        </w:rPr>
      </w:pPr>
      <w:r>
        <w:rPr>
          <w:rFonts w:hint="eastAsia" w:ascii="楷体_GB2312" w:hAnsi="楷体_GB2312" w:eastAsia="楷体_GB2312" w:cs="楷体_GB2312"/>
          <w:color w:val="auto"/>
          <w:lang w:eastAsia="zh-CN"/>
        </w:rPr>
        <w:drawing>
          <wp:inline distT="0" distB="0" distL="114300" distR="114300">
            <wp:extent cx="2860675" cy="2505075"/>
            <wp:effectExtent l="0" t="0" r="15875" b="9525"/>
            <wp:docPr id="7" name="图片 7" descr="1680144805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680144805592"/>
                    <pic:cNvPicPr>
                      <a:picLocks noChangeAspect="1"/>
                    </pic:cNvPicPr>
                  </pic:nvPicPr>
                  <pic:blipFill>
                    <a:blip r:embed="rId5"/>
                    <a:stretch>
                      <a:fillRect/>
                    </a:stretch>
                  </pic:blipFill>
                  <pic:spPr>
                    <a:xfrm>
                      <a:off x="0" y="0"/>
                      <a:ext cx="2860675" cy="2505075"/>
                    </a:xfrm>
                    <a:prstGeom prst="rect">
                      <a:avLst/>
                    </a:prstGeom>
                  </pic:spPr>
                </pic:pic>
              </a:graphicData>
            </a:graphic>
          </wp:inline>
        </w:drawing>
      </w:r>
      <w:r>
        <w:rPr>
          <w:rFonts w:hint="eastAsia" w:ascii="楷体_GB2312" w:hAnsi="楷体_GB2312" w:eastAsia="楷体_GB2312" w:cs="楷体_GB2312"/>
          <w:color w:val="auto"/>
          <w:lang w:eastAsia="zh-CN"/>
        </w:rPr>
        <w:drawing>
          <wp:inline distT="0" distB="0" distL="114300" distR="114300">
            <wp:extent cx="2856230" cy="2468880"/>
            <wp:effectExtent l="0" t="0" r="1270" b="7620"/>
            <wp:docPr id="8" name="图片 8" descr="1680144844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680144844437"/>
                    <pic:cNvPicPr>
                      <a:picLocks noChangeAspect="1"/>
                    </pic:cNvPicPr>
                  </pic:nvPicPr>
                  <pic:blipFill>
                    <a:blip r:embed="rId6"/>
                    <a:stretch>
                      <a:fillRect/>
                    </a:stretch>
                  </pic:blipFill>
                  <pic:spPr>
                    <a:xfrm>
                      <a:off x="0" y="0"/>
                      <a:ext cx="2856230" cy="2468880"/>
                    </a:xfrm>
                    <a:prstGeom prst="rect">
                      <a:avLst/>
                    </a:prstGeom>
                  </pic:spPr>
                </pic:pic>
              </a:graphicData>
            </a:graphic>
          </wp:inline>
        </w:drawing>
      </w:r>
    </w:p>
    <w:p w14:paraId="1BD91F30">
      <w:pPr>
        <w:pStyle w:val="7"/>
        <w:keepNext w:val="0"/>
        <w:keepLines w:val="0"/>
        <w:pageBreakBefore w:val="0"/>
        <w:widowControl/>
        <w:kinsoku/>
        <w:wordWrap/>
        <w:overflowPunct/>
        <w:topLinePunct w:val="0"/>
        <w:autoSpaceDE/>
        <w:autoSpaceDN/>
        <w:bidi w:val="0"/>
        <w:adjustRightInd/>
        <w:snapToGrid/>
        <w:spacing w:beforeAutospacing="0" w:afterAutospacing="0" w:line="240" w:lineRule="atLeast"/>
        <w:jc w:val="center"/>
        <w:textAlignment w:val="auto"/>
        <w:rPr>
          <w:rFonts w:hint="default" w:ascii="楷体_GB2312" w:hAnsi="楷体_GB2312" w:eastAsia="楷体_GB2312" w:cs="楷体_GB2312"/>
          <w:color w:val="auto"/>
          <w:kern w:val="2"/>
          <w:sz w:val="21"/>
          <w:szCs w:val="24"/>
          <w:shd w:val="clear" w:color="auto" w:fill="FFFFFF"/>
          <w:vertAlign w:val="baseline"/>
          <w:lang w:val="en-US" w:eastAsia="zh-CN" w:bidi="ar-SA"/>
        </w:rPr>
      </w:pPr>
      <w:r>
        <w:rPr>
          <w:rFonts w:hint="eastAsia" w:ascii="楷体_GB2312" w:hAnsi="楷体_GB2312" w:eastAsia="楷体_GB2312" w:cs="楷体_GB2312"/>
          <w:color w:val="auto"/>
          <w:kern w:val="2"/>
          <w:sz w:val="21"/>
          <w:szCs w:val="24"/>
          <w:shd w:val="clear" w:color="auto" w:fill="FFFFFF"/>
          <w:vertAlign w:val="baseline"/>
          <w:lang w:val="en-US" w:eastAsia="zh-CN" w:bidi="ar-SA"/>
        </w:rPr>
        <w:t>“现代中药产业学院”、“现代中药研究院”揭牌仪式</w:t>
      </w:r>
    </w:p>
    <w:p w14:paraId="1E8188C3">
      <w:pPr>
        <w:widowControl/>
        <w:spacing w:line="360" w:lineRule="auto"/>
        <w:jc w:val="left"/>
        <w:rPr>
          <w:rStyle w:val="11"/>
          <w:rFonts w:hint="eastAsia" w:ascii="楷体_GB2312" w:hAnsi="楷体_GB2312" w:eastAsia="楷体_GB2312" w:cs="楷体_GB2312"/>
          <w:bCs/>
          <w:color w:val="auto"/>
          <w:spacing w:val="8"/>
          <w:kern w:val="0"/>
          <w:sz w:val="24"/>
          <w:szCs w:val="24"/>
          <w:shd w:val="clear" w:color="auto" w:fill="FFFFFF"/>
          <w:lang w:bidi="ar"/>
        </w:rPr>
      </w:pPr>
      <w:r>
        <w:rPr>
          <w:rStyle w:val="11"/>
          <w:rFonts w:hint="eastAsia" w:ascii="楷体_GB2312" w:hAnsi="楷体_GB2312" w:eastAsia="楷体_GB2312" w:cs="楷体_GB2312"/>
          <w:bCs/>
          <w:color w:val="auto"/>
          <w:spacing w:val="8"/>
          <w:kern w:val="0"/>
          <w:sz w:val="24"/>
          <w:szCs w:val="24"/>
          <w:shd w:val="clear" w:color="auto" w:fill="FFFFFF"/>
          <w:lang w:eastAsia="zh-CN" w:bidi="ar"/>
        </w:rPr>
        <w:t>四、</w:t>
      </w:r>
      <w:r>
        <w:rPr>
          <w:rStyle w:val="11"/>
          <w:rFonts w:hint="eastAsia" w:ascii="楷体_GB2312" w:hAnsi="楷体_GB2312" w:eastAsia="楷体_GB2312" w:cs="楷体_GB2312"/>
          <w:bCs/>
          <w:color w:val="auto"/>
          <w:spacing w:val="8"/>
          <w:kern w:val="0"/>
          <w:sz w:val="24"/>
          <w:szCs w:val="24"/>
          <w:shd w:val="clear" w:color="auto" w:fill="FFFFFF"/>
          <w:lang w:bidi="ar"/>
        </w:rPr>
        <w:t>课程设置及考取证书情况</w:t>
      </w:r>
    </w:p>
    <w:p w14:paraId="3153132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楷体_GB2312" w:hAnsi="楷体_GB2312" w:eastAsia="楷体_GB2312" w:cs="楷体_GB2312"/>
          <w:color w:val="auto"/>
          <w:kern w:val="0"/>
          <w:sz w:val="24"/>
          <w:szCs w:val="24"/>
          <w:shd w:val="clear" w:color="auto" w:fill="FFFFFF"/>
          <w:lang w:val="en-US" w:eastAsia="zh-CN" w:bidi="ar-SA"/>
        </w:rPr>
      </w:pPr>
      <w:r>
        <w:rPr>
          <w:rFonts w:hint="eastAsia" w:ascii="楷体_GB2312" w:hAnsi="楷体_GB2312" w:eastAsia="楷体_GB2312" w:cs="楷体_GB2312"/>
          <w:color w:val="auto"/>
          <w:kern w:val="0"/>
          <w:sz w:val="24"/>
          <w:szCs w:val="24"/>
          <w:shd w:val="clear" w:color="auto" w:fill="FFFFFF"/>
          <w:lang w:val="en-US" w:eastAsia="zh-CN" w:bidi="ar-SA"/>
        </w:rPr>
        <w:t>1.课程设置</w:t>
      </w:r>
    </w:p>
    <w:p w14:paraId="04F8DC4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楷体_GB2312" w:hAnsi="楷体_GB2312" w:eastAsia="楷体_GB2312" w:cs="楷体_GB2312"/>
          <w:color w:val="auto"/>
          <w:kern w:val="0"/>
          <w:sz w:val="24"/>
          <w:szCs w:val="24"/>
          <w:shd w:val="clear" w:color="auto" w:fill="FFFFFF"/>
          <w:lang w:val="en-US" w:eastAsia="zh-CN" w:bidi="ar-SA"/>
        </w:rPr>
      </w:pPr>
      <w:r>
        <w:rPr>
          <w:rFonts w:hint="eastAsia" w:ascii="楷体_GB2312" w:hAnsi="楷体_GB2312" w:eastAsia="楷体_GB2312" w:cs="楷体_GB2312"/>
          <w:color w:val="auto"/>
          <w:kern w:val="0"/>
          <w:sz w:val="24"/>
          <w:szCs w:val="24"/>
          <w:shd w:val="clear" w:color="auto" w:fill="FFFFFF"/>
          <w:lang w:val="en-US" w:eastAsia="zh-CN" w:bidi="ar-SA"/>
        </w:rPr>
        <w:t>根据专业培养目标和学院实际情况，开设有中药学、方剂与中成药、中药鉴定技术、中药调剂技术、中药炮制技术、中药制剂技术、中药制剂检测技术等核心课程，以及中国共产党党史、信息技术基础、思想道德与法制、形势与政策、大学生就业指导与创业教育等公共课程，拓展了学生视野，增强了学生核心竞争力。</w:t>
      </w:r>
    </w:p>
    <w:p w14:paraId="2C765311">
      <w:pPr>
        <w:pStyle w:val="7"/>
        <w:widowControl/>
        <w:numPr>
          <w:ilvl w:val="0"/>
          <w:numId w:val="0"/>
        </w:numPr>
        <w:spacing w:beforeAutospacing="0" w:afterAutospacing="0" w:line="360" w:lineRule="auto"/>
        <w:ind w:firstLine="480" w:firstLineChars="200"/>
        <w:rPr>
          <w:rFonts w:hint="eastAsia" w:ascii="楷体_GB2312" w:hAnsi="楷体_GB2312" w:eastAsia="楷体_GB2312" w:cs="楷体_GB2312"/>
          <w:color w:val="auto"/>
          <w:shd w:val="clear" w:color="auto" w:fill="FFFFFF"/>
        </w:rPr>
      </w:pPr>
      <w:r>
        <w:rPr>
          <w:rFonts w:hint="eastAsia" w:ascii="楷体_GB2312" w:hAnsi="楷体_GB2312" w:eastAsia="楷体_GB2312" w:cs="楷体_GB2312"/>
          <w:color w:val="auto"/>
          <w:shd w:val="clear" w:color="auto" w:fill="FFFFFF"/>
          <w:lang w:val="en-US" w:eastAsia="zh-CN"/>
        </w:rPr>
        <w:t>2.</w:t>
      </w:r>
      <w:r>
        <w:rPr>
          <w:rFonts w:hint="eastAsia" w:ascii="楷体_GB2312" w:hAnsi="楷体_GB2312" w:eastAsia="楷体_GB2312" w:cs="楷体_GB2312"/>
          <w:color w:val="auto"/>
          <w:shd w:val="clear" w:color="auto" w:fill="FFFFFF"/>
        </w:rPr>
        <w:t>考取证书情况</w:t>
      </w:r>
    </w:p>
    <w:p w14:paraId="33FABB57">
      <w:pPr>
        <w:pStyle w:val="7"/>
        <w:widowControl/>
        <w:numPr>
          <w:ilvl w:val="0"/>
          <w:numId w:val="0"/>
        </w:numPr>
        <w:spacing w:beforeAutospacing="0" w:afterAutospacing="0" w:line="360" w:lineRule="auto"/>
        <w:ind w:firstLine="480" w:firstLineChars="200"/>
        <w:rPr>
          <w:rFonts w:hint="eastAsia" w:ascii="楷体_GB2312" w:hAnsi="楷体_GB2312" w:eastAsia="楷体_GB2312" w:cs="楷体_GB2312"/>
          <w:color w:val="auto"/>
          <w:shd w:val="clear" w:color="auto" w:fill="FFFFFF"/>
          <w:lang w:eastAsia="zh-CN"/>
        </w:rPr>
      </w:pPr>
      <w:r>
        <w:rPr>
          <w:rFonts w:hint="eastAsia" w:ascii="楷体_GB2312" w:hAnsi="楷体_GB2312" w:eastAsia="楷体_GB2312" w:cs="楷体_GB2312"/>
          <w:color w:val="auto"/>
          <w:shd w:val="clear" w:color="auto" w:fill="FFFFFF"/>
        </w:rPr>
        <w:t>我院是教育部“1+X”药品购销和药物制剂生产职业技能等级证书（中级）试点院校</w:t>
      </w:r>
      <w:r>
        <w:rPr>
          <w:rFonts w:hint="eastAsia" w:ascii="楷体_GB2312" w:hAnsi="楷体_GB2312" w:eastAsia="楷体_GB2312" w:cs="楷体_GB2312"/>
          <w:color w:val="auto"/>
          <w:shd w:val="clear" w:color="auto" w:fill="FFFFFF"/>
          <w:lang w:eastAsia="zh-CN"/>
        </w:rPr>
        <w:t>。</w:t>
      </w:r>
      <w:r>
        <w:rPr>
          <w:rFonts w:hint="eastAsia" w:ascii="楷体_GB2312" w:hAnsi="楷体_GB2312" w:eastAsia="楷体_GB2312" w:cs="楷体_GB2312"/>
          <w:color w:val="auto"/>
          <w:shd w:val="clear" w:color="auto" w:fill="FFFFFF"/>
        </w:rPr>
        <w:t>在实习前组织学生参加药品购销、药物制剂生产等证书的考证工作。毕业后满足条件可参加执业（中）药师、中药调剂员、中药</w:t>
      </w:r>
      <w:r>
        <w:rPr>
          <w:rFonts w:hint="eastAsia" w:ascii="楷体_GB2312" w:hAnsi="楷体_GB2312" w:eastAsia="楷体_GB2312" w:cs="楷体_GB2312"/>
          <w:color w:val="auto"/>
          <w:shd w:val="clear" w:color="auto" w:fill="FFFFFF"/>
          <w:lang w:val="en-US" w:eastAsia="zh-CN"/>
        </w:rPr>
        <w:t>炮制工</w:t>
      </w:r>
      <w:r>
        <w:rPr>
          <w:rFonts w:hint="eastAsia" w:ascii="楷体_GB2312" w:hAnsi="楷体_GB2312" w:eastAsia="楷体_GB2312" w:cs="楷体_GB2312"/>
          <w:color w:val="auto"/>
          <w:shd w:val="clear" w:color="auto" w:fill="FFFFFF"/>
          <w:lang w:eastAsia="zh-CN"/>
        </w:rPr>
        <w:t>、</w:t>
      </w:r>
      <w:r>
        <w:rPr>
          <w:rFonts w:hint="eastAsia" w:ascii="楷体_GB2312" w:hAnsi="楷体_GB2312" w:eastAsia="楷体_GB2312" w:cs="楷体_GB2312"/>
          <w:color w:val="auto"/>
          <w:shd w:val="clear" w:color="auto" w:fill="FFFFFF"/>
        </w:rPr>
        <w:t>中药购销员</w:t>
      </w:r>
      <w:r>
        <w:rPr>
          <w:rFonts w:hint="eastAsia" w:ascii="楷体_GB2312" w:hAnsi="楷体_GB2312" w:eastAsia="楷体_GB2312" w:cs="楷体_GB2312"/>
          <w:color w:val="auto"/>
          <w:shd w:val="clear" w:color="auto" w:fill="FFFFFF"/>
          <w:lang w:eastAsia="zh-CN"/>
        </w:rPr>
        <w:t>等证书</w:t>
      </w:r>
      <w:r>
        <w:rPr>
          <w:rFonts w:hint="eastAsia" w:ascii="楷体_GB2312" w:hAnsi="楷体_GB2312" w:eastAsia="楷体_GB2312" w:cs="楷体_GB2312"/>
          <w:color w:val="auto"/>
          <w:shd w:val="clear" w:color="auto" w:fill="FFFFFF"/>
        </w:rPr>
        <w:t>考试</w:t>
      </w:r>
      <w:r>
        <w:rPr>
          <w:rFonts w:hint="eastAsia" w:ascii="楷体_GB2312" w:hAnsi="楷体_GB2312" w:eastAsia="楷体_GB2312" w:cs="楷体_GB2312"/>
          <w:color w:val="auto"/>
          <w:shd w:val="clear" w:color="auto" w:fill="FFFFFF"/>
          <w:lang w:eastAsia="zh-CN"/>
        </w:rPr>
        <w:t>和</w:t>
      </w:r>
      <w:r>
        <w:rPr>
          <w:rFonts w:hint="eastAsia" w:ascii="楷体_GB2312" w:hAnsi="楷体_GB2312" w:eastAsia="楷体_GB2312" w:cs="楷体_GB2312"/>
          <w:color w:val="auto"/>
          <w:shd w:val="clear" w:color="auto" w:fill="FFFFFF"/>
        </w:rPr>
        <w:t>卫生类职称考试，考试合格可取得相应的职业资格证书。</w:t>
      </w:r>
    </w:p>
    <w:p w14:paraId="630C442F">
      <w:pPr>
        <w:widowControl/>
        <w:spacing w:line="360" w:lineRule="auto"/>
        <w:jc w:val="left"/>
        <w:rPr>
          <w:rStyle w:val="11"/>
          <w:rFonts w:hint="eastAsia" w:ascii="楷体_GB2312" w:hAnsi="楷体_GB2312" w:eastAsia="楷体_GB2312" w:cs="楷体_GB2312"/>
          <w:bCs/>
          <w:color w:val="auto"/>
          <w:spacing w:val="8"/>
          <w:kern w:val="0"/>
          <w:sz w:val="24"/>
          <w:szCs w:val="24"/>
          <w:shd w:val="clear" w:color="auto" w:fill="FFFFFF"/>
          <w:lang w:bidi="ar"/>
        </w:rPr>
      </w:pPr>
      <w:r>
        <w:rPr>
          <w:rStyle w:val="11"/>
          <w:rFonts w:hint="eastAsia" w:ascii="楷体_GB2312" w:hAnsi="楷体_GB2312" w:eastAsia="楷体_GB2312" w:cs="楷体_GB2312"/>
          <w:bCs/>
          <w:color w:val="auto"/>
          <w:spacing w:val="8"/>
          <w:kern w:val="0"/>
          <w:sz w:val="24"/>
          <w:szCs w:val="24"/>
          <w:shd w:val="clear" w:color="auto" w:fill="FFFFFF"/>
          <w:lang w:bidi="ar"/>
        </w:rPr>
        <w:t>五、实训条件</w:t>
      </w:r>
    </w:p>
    <w:p w14:paraId="5F8F9E91">
      <w:pPr>
        <w:pStyle w:val="7"/>
        <w:widowControl/>
        <w:spacing w:beforeAutospacing="0" w:afterAutospacing="0" w:line="360" w:lineRule="auto"/>
        <w:ind w:firstLine="480" w:firstLineChars="200"/>
        <w:rPr>
          <w:rFonts w:hint="eastAsia" w:ascii="楷体_GB2312" w:hAnsi="楷体_GB2312" w:eastAsia="楷体_GB2312" w:cs="楷体_GB2312"/>
          <w:color w:val="auto"/>
          <w:shd w:val="clear" w:color="auto" w:fill="FFFFFF"/>
        </w:rPr>
      </w:pPr>
      <w:r>
        <w:rPr>
          <w:rFonts w:hint="eastAsia" w:ascii="楷体_GB2312" w:hAnsi="楷体_GB2312" w:eastAsia="楷体_GB2312" w:cs="楷体_GB2312"/>
          <w:color w:val="auto"/>
          <w:shd w:val="clear" w:color="auto" w:fill="FFFFFF"/>
          <w:lang w:val="en-US" w:eastAsia="zh-CN"/>
        </w:rPr>
        <w:t>1.</w:t>
      </w:r>
      <w:r>
        <w:rPr>
          <w:rFonts w:hint="eastAsia" w:ascii="楷体_GB2312" w:hAnsi="楷体_GB2312" w:eastAsia="楷体_GB2312" w:cs="楷体_GB2312"/>
          <w:color w:val="auto"/>
          <w:shd w:val="clear" w:color="auto" w:fill="FFFFFF"/>
        </w:rPr>
        <w:t>校内实训</w:t>
      </w:r>
      <w:r>
        <w:rPr>
          <w:rFonts w:hint="eastAsia" w:ascii="楷体_GB2312" w:hAnsi="楷体_GB2312" w:eastAsia="楷体_GB2312" w:cs="楷体_GB2312"/>
          <w:color w:val="auto"/>
          <w:shd w:val="clear" w:color="auto" w:fill="FFFFFF"/>
          <w:lang w:eastAsia="zh-CN"/>
        </w:rPr>
        <w:t>基地</w:t>
      </w:r>
    </w:p>
    <w:p w14:paraId="5AA00D03">
      <w:pPr>
        <w:pStyle w:val="7"/>
        <w:widowControl/>
        <w:numPr>
          <w:ilvl w:val="0"/>
          <w:numId w:val="0"/>
        </w:numPr>
        <w:spacing w:beforeAutospacing="0" w:afterAutospacing="0" w:line="360" w:lineRule="auto"/>
        <w:ind w:firstLine="480" w:firstLineChars="200"/>
        <w:rPr>
          <w:rFonts w:hint="eastAsia" w:ascii="楷体_GB2312" w:hAnsi="楷体_GB2312" w:eastAsia="楷体_GB2312" w:cs="楷体_GB2312"/>
          <w:color w:val="auto"/>
          <w:shd w:val="clear" w:color="auto" w:fill="FFFFFF"/>
          <w:lang w:val="en-US" w:eastAsia="zh-CN"/>
        </w:rPr>
      </w:pPr>
      <w:r>
        <w:rPr>
          <w:rFonts w:hint="eastAsia" w:ascii="楷体_GB2312" w:hAnsi="楷体_GB2312" w:eastAsia="楷体_GB2312" w:cs="楷体_GB2312"/>
          <w:color w:val="auto"/>
          <w:shd w:val="clear" w:color="auto" w:fill="FFFFFF"/>
          <w:lang w:eastAsia="zh-CN"/>
        </w:rPr>
        <w:t>该</w:t>
      </w:r>
      <w:r>
        <w:rPr>
          <w:rFonts w:hint="eastAsia" w:ascii="楷体_GB2312" w:hAnsi="楷体_GB2312" w:eastAsia="楷体_GB2312" w:cs="楷体_GB2312"/>
          <w:color w:val="auto"/>
          <w:shd w:val="clear" w:color="auto" w:fill="FFFFFF"/>
        </w:rPr>
        <w:t>专业所在专业群校内实训实验室面积达2350平方米，仪器设备总</w:t>
      </w:r>
      <w:r>
        <w:rPr>
          <w:rFonts w:hint="eastAsia" w:ascii="楷体_GB2312" w:hAnsi="楷体_GB2312" w:eastAsia="楷体_GB2312" w:cs="楷体_GB2312"/>
          <w:color w:val="auto"/>
          <w:shd w:val="clear" w:color="auto" w:fill="FFFFFF"/>
          <w:lang w:eastAsia="zh-CN"/>
        </w:rPr>
        <w:t>价</w:t>
      </w:r>
      <w:r>
        <w:rPr>
          <w:rFonts w:hint="eastAsia" w:ascii="楷体_GB2312" w:hAnsi="楷体_GB2312" w:eastAsia="楷体_GB2312" w:cs="楷体_GB2312"/>
          <w:color w:val="auto"/>
          <w:shd w:val="clear" w:color="auto" w:fill="FFFFFF"/>
        </w:rPr>
        <w:t>值550余万元</w:t>
      </w:r>
      <w:r>
        <w:rPr>
          <w:rFonts w:hint="eastAsia" w:ascii="楷体_GB2312" w:hAnsi="楷体_GB2312" w:eastAsia="楷体_GB2312" w:cs="楷体_GB2312"/>
          <w:color w:val="auto"/>
          <w:shd w:val="clear" w:color="auto" w:fill="FFFFFF"/>
          <w:lang w:eastAsia="zh-CN"/>
        </w:rPr>
        <w:t>，</w:t>
      </w:r>
      <w:r>
        <w:rPr>
          <w:rFonts w:hint="eastAsia" w:ascii="楷体_GB2312" w:hAnsi="楷体_GB2312" w:eastAsia="楷体_GB2312" w:cs="楷体_GB2312"/>
          <w:color w:val="auto"/>
          <w:shd w:val="clear" w:color="auto" w:fill="FFFFFF"/>
        </w:rPr>
        <w:t>配套齐全</w:t>
      </w:r>
      <w:r>
        <w:rPr>
          <w:rFonts w:hint="eastAsia" w:ascii="楷体_GB2312" w:hAnsi="楷体_GB2312" w:eastAsia="楷体_GB2312" w:cs="楷体_GB2312"/>
          <w:color w:val="auto"/>
          <w:shd w:val="clear" w:color="auto" w:fill="FFFFFF"/>
          <w:lang w:eastAsia="zh-CN"/>
        </w:rPr>
        <w:t>、</w:t>
      </w:r>
      <w:r>
        <w:rPr>
          <w:rFonts w:hint="eastAsia" w:ascii="楷体_GB2312" w:hAnsi="楷体_GB2312" w:eastAsia="楷体_GB2312" w:cs="楷体_GB2312"/>
          <w:color w:val="auto"/>
          <w:shd w:val="clear" w:color="auto" w:fill="FFFFFF"/>
        </w:rPr>
        <w:t>数量充足</w:t>
      </w:r>
      <w:r>
        <w:rPr>
          <w:rFonts w:hint="eastAsia" w:ascii="楷体_GB2312" w:hAnsi="楷体_GB2312" w:eastAsia="楷体_GB2312" w:cs="楷体_GB2312"/>
          <w:color w:val="auto"/>
          <w:shd w:val="clear" w:color="auto" w:fill="FFFFFF"/>
          <w:lang w:eastAsia="zh-CN"/>
        </w:rPr>
        <w:t>。建有</w:t>
      </w:r>
      <w:r>
        <w:rPr>
          <w:rFonts w:hint="eastAsia" w:ascii="楷体_GB2312" w:hAnsi="楷体_GB2312" w:eastAsia="楷体_GB2312" w:cs="楷体_GB2312"/>
          <w:color w:val="auto"/>
          <w:shd w:val="clear" w:color="auto" w:fill="FFFFFF"/>
        </w:rPr>
        <w:t>药物合成与制药中心、药品生产实训中心、药物质量检测中心、药品营销实训中心等具有引领和示范作用的六大实验实训中心</w:t>
      </w:r>
      <w:r>
        <w:rPr>
          <w:rFonts w:hint="eastAsia" w:ascii="楷体_GB2312" w:hAnsi="楷体_GB2312" w:eastAsia="楷体_GB2312" w:cs="楷体_GB2312"/>
          <w:color w:val="auto"/>
          <w:shd w:val="clear" w:color="auto" w:fill="FFFFFF"/>
          <w:lang w:eastAsia="zh-CN"/>
        </w:rPr>
        <w:t>；拥</w:t>
      </w:r>
      <w:r>
        <w:rPr>
          <w:rFonts w:hint="eastAsia" w:ascii="楷体_GB2312" w:hAnsi="楷体_GB2312" w:eastAsia="楷体_GB2312" w:cs="楷体_GB2312"/>
          <w:color w:val="auto"/>
          <w:shd w:val="clear" w:color="auto" w:fill="FFFFFF"/>
        </w:rPr>
        <w:t>有中药制剂实训室、中药综合实训室、中药鉴定实训室、天然药物化学与合成实训室等实验实训室10</w:t>
      </w:r>
      <w:r>
        <w:rPr>
          <w:rFonts w:hint="eastAsia" w:ascii="楷体_GB2312" w:hAnsi="楷体_GB2312" w:eastAsia="楷体_GB2312" w:cs="楷体_GB2312"/>
          <w:color w:val="auto"/>
          <w:shd w:val="clear" w:color="auto" w:fill="FFFFFF"/>
          <w:lang w:eastAsia="zh-CN"/>
        </w:rPr>
        <w:t>余</w:t>
      </w:r>
      <w:r>
        <w:rPr>
          <w:rFonts w:hint="eastAsia" w:ascii="楷体_GB2312" w:hAnsi="楷体_GB2312" w:eastAsia="楷体_GB2312" w:cs="楷体_GB2312"/>
          <w:color w:val="auto"/>
          <w:shd w:val="clear" w:color="auto" w:fill="FFFFFF"/>
        </w:rPr>
        <w:t>个</w:t>
      </w:r>
      <w:r>
        <w:rPr>
          <w:rFonts w:hint="eastAsia" w:ascii="楷体_GB2312" w:hAnsi="楷体_GB2312" w:eastAsia="楷体_GB2312" w:cs="楷体_GB2312"/>
          <w:color w:val="auto"/>
          <w:shd w:val="clear" w:color="auto" w:fill="FFFFFF"/>
          <w:lang w:eastAsia="zh-CN"/>
        </w:rPr>
        <w:t>；配备</w:t>
      </w:r>
      <w:r>
        <w:rPr>
          <w:rFonts w:hint="eastAsia" w:ascii="楷体_GB2312" w:hAnsi="楷体_GB2312" w:eastAsia="楷体_GB2312" w:cs="楷体_GB2312"/>
          <w:color w:val="auto"/>
          <w:shd w:val="clear" w:color="auto" w:fill="FFFFFF"/>
        </w:rPr>
        <w:t>高效液相色谱仪、数码显微显像系统、火焰原子吸收分光光度仪</w:t>
      </w:r>
      <w:r>
        <w:rPr>
          <w:rFonts w:hint="eastAsia" w:ascii="楷体_GB2312" w:hAnsi="楷体_GB2312" w:eastAsia="楷体_GB2312" w:cs="楷体_GB2312"/>
          <w:color w:val="auto"/>
          <w:shd w:val="clear" w:color="auto" w:fill="FFFFFF"/>
          <w:lang w:eastAsia="zh-CN"/>
        </w:rPr>
        <w:t>、</w:t>
      </w:r>
      <w:r>
        <w:rPr>
          <w:rFonts w:hint="eastAsia" w:ascii="楷体_GB2312" w:hAnsi="楷体_GB2312" w:eastAsia="楷体_GB2312" w:cs="楷体_GB2312"/>
          <w:color w:val="auto"/>
          <w:shd w:val="clear" w:color="auto" w:fill="FFFFFF"/>
        </w:rPr>
        <w:t>自动旋光仪等高端仪器设备，实验实训项目开出率100%</w:t>
      </w:r>
      <w:r>
        <w:rPr>
          <w:rFonts w:hint="eastAsia" w:ascii="楷体_GB2312" w:hAnsi="楷体_GB2312" w:eastAsia="楷体_GB2312" w:cs="楷体_GB2312"/>
          <w:color w:val="auto"/>
          <w:shd w:val="clear" w:color="auto" w:fill="FFFFFF"/>
          <w:lang w:eastAsia="zh-CN"/>
        </w:rPr>
        <w:t>，</w:t>
      </w:r>
      <w:r>
        <w:rPr>
          <w:rFonts w:hint="eastAsia" w:ascii="楷体_GB2312" w:hAnsi="楷体_GB2312" w:eastAsia="楷体_GB2312" w:cs="楷体_GB2312"/>
          <w:color w:val="auto"/>
          <w:shd w:val="clear" w:color="auto" w:fill="FFFFFF"/>
        </w:rPr>
        <w:t>学生在这里可以接受到</w:t>
      </w:r>
      <w:r>
        <w:rPr>
          <w:rFonts w:hint="eastAsia" w:ascii="楷体_GB2312" w:hAnsi="楷体_GB2312" w:eastAsia="楷体_GB2312" w:cs="楷体_GB2312"/>
          <w:color w:val="auto"/>
          <w:shd w:val="clear" w:color="auto" w:fill="FFFFFF"/>
          <w:lang w:eastAsia="zh-CN"/>
        </w:rPr>
        <w:t>实际工作场景的</w:t>
      </w:r>
      <w:r>
        <w:rPr>
          <w:rFonts w:hint="eastAsia" w:ascii="楷体_GB2312" w:hAnsi="楷体_GB2312" w:eastAsia="楷体_GB2312" w:cs="楷体_GB2312"/>
          <w:color w:val="auto"/>
          <w:shd w:val="clear" w:color="auto" w:fill="FFFFFF"/>
        </w:rPr>
        <w:t>训练，为</w:t>
      </w:r>
      <w:r>
        <w:rPr>
          <w:rFonts w:hint="eastAsia" w:ascii="楷体_GB2312" w:hAnsi="楷体_GB2312" w:eastAsia="楷体_GB2312" w:cs="楷体_GB2312"/>
          <w:color w:val="auto"/>
          <w:shd w:val="clear" w:color="auto" w:fill="FFFFFF"/>
          <w:lang w:eastAsia="zh-CN"/>
        </w:rPr>
        <w:t>学生</w:t>
      </w:r>
      <w:r>
        <w:rPr>
          <w:rFonts w:hint="eastAsia" w:ascii="楷体_GB2312" w:hAnsi="楷体_GB2312" w:eastAsia="楷体_GB2312" w:cs="楷体_GB2312"/>
          <w:color w:val="auto"/>
          <w:shd w:val="clear" w:color="auto" w:fill="FFFFFF"/>
        </w:rPr>
        <w:t>毕业后</w:t>
      </w:r>
      <w:r>
        <w:rPr>
          <w:rFonts w:hint="eastAsia" w:ascii="楷体_GB2312" w:hAnsi="楷体_GB2312" w:eastAsia="楷体_GB2312" w:cs="楷体_GB2312"/>
          <w:color w:val="auto"/>
          <w:shd w:val="clear" w:color="auto" w:fill="FFFFFF"/>
          <w:lang w:eastAsia="zh-CN"/>
        </w:rPr>
        <w:t>快速</w:t>
      </w:r>
      <w:r>
        <w:rPr>
          <w:rFonts w:hint="eastAsia" w:ascii="楷体_GB2312" w:hAnsi="楷体_GB2312" w:eastAsia="楷体_GB2312" w:cs="楷体_GB2312"/>
          <w:color w:val="auto"/>
          <w:shd w:val="clear" w:color="auto" w:fill="FFFFFF"/>
        </w:rPr>
        <w:t>适应实际工作</w:t>
      </w:r>
      <w:r>
        <w:rPr>
          <w:rFonts w:hint="eastAsia" w:ascii="楷体_GB2312" w:hAnsi="楷体_GB2312" w:eastAsia="楷体_GB2312" w:cs="楷体_GB2312"/>
          <w:color w:val="auto"/>
          <w:shd w:val="clear" w:color="auto" w:fill="FFFFFF"/>
          <w:lang w:eastAsia="zh-CN"/>
        </w:rPr>
        <w:t>岗位</w:t>
      </w:r>
      <w:r>
        <w:rPr>
          <w:rFonts w:hint="eastAsia" w:ascii="楷体_GB2312" w:hAnsi="楷体_GB2312" w:eastAsia="楷体_GB2312" w:cs="楷体_GB2312"/>
          <w:color w:val="auto"/>
          <w:shd w:val="clear" w:color="auto" w:fill="FFFFFF"/>
        </w:rPr>
        <w:t>奠定坚实基础。</w:t>
      </w:r>
      <w:r>
        <w:rPr>
          <w:rFonts w:hint="eastAsia" w:ascii="楷体_GB2312" w:hAnsi="楷体_GB2312" w:eastAsia="楷体_GB2312" w:cs="楷体_GB2312"/>
          <w:color w:val="auto"/>
          <w:shd w:val="clear" w:color="auto" w:fill="FFFFFF"/>
          <w:lang w:val="en-US" w:eastAsia="zh-CN"/>
        </w:rPr>
        <w:t>另外校内还建有</w:t>
      </w:r>
      <w:r>
        <w:rPr>
          <w:rFonts w:hint="eastAsia" w:ascii="楷体_GB2312" w:hAnsi="楷体_GB2312" w:eastAsia="楷体_GB2312" w:cs="楷体_GB2312"/>
          <w:color w:val="auto"/>
          <w:shd w:val="clear" w:color="auto" w:fill="FFFFFF"/>
        </w:rPr>
        <w:t>集中医药历史文化实物、中药材标本、中医诊治</w:t>
      </w:r>
      <w:r>
        <w:rPr>
          <w:rFonts w:hint="eastAsia" w:ascii="楷体_GB2312" w:hAnsi="楷体_GB2312" w:eastAsia="楷体_GB2312" w:cs="楷体_GB2312"/>
          <w:color w:val="auto"/>
          <w:shd w:val="clear" w:color="auto" w:fill="FFFFFF"/>
          <w:lang w:val="en-US" w:eastAsia="zh-CN"/>
        </w:rPr>
        <w:t>理论与技术</w:t>
      </w:r>
      <w:r>
        <w:rPr>
          <w:rFonts w:hint="eastAsia" w:ascii="楷体_GB2312" w:hAnsi="楷体_GB2312" w:eastAsia="楷体_GB2312" w:cs="楷体_GB2312"/>
          <w:color w:val="auto"/>
          <w:shd w:val="clear" w:color="auto" w:fill="FFFFFF"/>
        </w:rPr>
        <w:t>于一体的济南市中医药文化博物馆</w:t>
      </w:r>
      <w:r>
        <w:rPr>
          <w:rFonts w:hint="eastAsia" w:ascii="楷体_GB2312" w:hAnsi="楷体_GB2312" w:eastAsia="楷体_GB2312" w:cs="楷体_GB2312"/>
          <w:color w:val="auto"/>
          <w:shd w:val="clear" w:color="auto" w:fill="FFFFFF"/>
          <w:lang w:eastAsia="zh-CN"/>
        </w:rPr>
        <w:t>。</w:t>
      </w:r>
      <w:r>
        <w:rPr>
          <w:rFonts w:hint="eastAsia" w:ascii="楷体_GB2312" w:hAnsi="楷体_GB2312" w:eastAsia="楷体_GB2312" w:cs="楷体_GB2312"/>
          <w:color w:val="auto"/>
          <w:shd w:val="clear" w:color="auto" w:fill="FFFFFF"/>
        </w:rPr>
        <w:t>博物馆</w:t>
      </w:r>
      <w:r>
        <w:rPr>
          <w:rFonts w:hint="eastAsia" w:ascii="楷体_GB2312" w:hAnsi="楷体_GB2312" w:eastAsia="楷体_GB2312" w:cs="楷体_GB2312"/>
          <w:color w:val="auto"/>
          <w:shd w:val="clear" w:color="auto" w:fill="FFFFFF"/>
          <w:lang w:val="en-US" w:eastAsia="zh-CN"/>
        </w:rPr>
        <w:t>建筑</w:t>
      </w:r>
      <w:r>
        <w:rPr>
          <w:rFonts w:hint="eastAsia" w:ascii="楷体_GB2312" w:hAnsi="楷体_GB2312" w:eastAsia="楷体_GB2312" w:cs="楷体_GB2312"/>
          <w:color w:val="auto"/>
          <w:shd w:val="clear" w:color="auto" w:fill="FFFFFF"/>
        </w:rPr>
        <w:t>面积2500余平方米</w:t>
      </w:r>
      <w:r>
        <w:rPr>
          <w:rFonts w:hint="eastAsia" w:ascii="楷体_GB2312" w:hAnsi="楷体_GB2312" w:eastAsia="楷体_GB2312" w:cs="楷体_GB2312"/>
          <w:color w:val="auto"/>
          <w:shd w:val="clear" w:color="auto" w:fill="FFFFFF"/>
          <w:lang w:eastAsia="zh-CN"/>
        </w:rPr>
        <w:t>，</w:t>
      </w:r>
      <w:r>
        <w:rPr>
          <w:rFonts w:hint="eastAsia" w:ascii="楷体_GB2312" w:hAnsi="楷体_GB2312" w:eastAsia="楷体_GB2312" w:cs="楷体_GB2312"/>
          <w:color w:val="auto"/>
          <w:shd w:val="clear" w:color="auto" w:fill="FFFFFF"/>
        </w:rPr>
        <w:t>设11个展示区域</w:t>
      </w:r>
      <w:r>
        <w:rPr>
          <w:rFonts w:hint="eastAsia" w:ascii="楷体_GB2312" w:hAnsi="楷体_GB2312" w:eastAsia="楷体_GB2312" w:cs="楷体_GB2312"/>
          <w:color w:val="auto"/>
          <w:shd w:val="clear" w:color="auto" w:fill="FFFFFF"/>
          <w:lang w:eastAsia="zh-CN"/>
        </w:rPr>
        <w:t>，</w:t>
      </w:r>
      <w:r>
        <w:rPr>
          <w:rFonts w:hint="eastAsia" w:ascii="楷体_GB2312" w:hAnsi="楷体_GB2312" w:eastAsia="楷体_GB2312" w:cs="楷体_GB2312"/>
          <w:color w:val="auto"/>
          <w:shd w:val="clear" w:color="auto" w:fill="FFFFFF"/>
        </w:rPr>
        <w:t>馆藏各类标本1300余种。</w:t>
      </w:r>
      <w:r>
        <w:rPr>
          <w:rFonts w:hint="eastAsia" w:ascii="楷体_GB2312" w:hAnsi="楷体_GB2312" w:eastAsia="楷体_GB2312" w:cs="楷体_GB2312"/>
          <w:color w:val="auto"/>
          <w:shd w:val="clear" w:color="auto" w:fill="FFFFFF"/>
          <w:lang w:val="en-US" w:eastAsia="zh-CN"/>
        </w:rPr>
        <w:t>该馆相继被评为</w:t>
      </w:r>
      <w:r>
        <w:rPr>
          <w:rFonts w:hint="eastAsia" w:ascii="楷体_GB2312" w:hAnsi="楷体_GB2312" w:eastAsia="楷体_GB2312" w:cs="楷体_GB2312"/>
          <w:color w:val="auto"/>
          <w:shd w:val="clear" w:color="auto" w:fill="FFFFFF"/>
        </w:rPr>
        <w:t>济南市科普教育基地、济南市中医药文化宣传教育基地、济南市思政课实践教学基地、济南市健康教育基地</w:t>
      </w:r>
      <w:r>
        <w:rPr>
          <w:rFonts w:hint="eastAsia" w:ascii="楷体_GB2312" w:hAnsi="楷体_GB2312" w:eastAsia="楷体_GB2312" w:cs="楷体_GB2312"/>
          <w:color w:val="auto"/>
          <w:shd w:val="clear" w:color="auto" w:fill="FFFFFF"/>
          <w:lang w:val="en-US" w:eastAsia="zh-CN"/>
        </w:rPr>
        <w:t>等，是学生</w:t>
      </w:r>
      <w:r>
        <w:rPr>
          <w:rFonts w:hint="eastAsia" w:ascii="楷体_GB2312" w:hAnsi="楷体_GB2312" w:eastAsia="楷体_GB2312" w:cs="楷体_GB2312"/>
          <w:color w:val="auto"/>
          <w:shd w:val="clear" w:color="auto" w:fill="FFFFFF"/>
        </w:rPr>
        <w:t>增加知识性、实践性和趣味性，</w:t>
      </w:r>
      <w:r>
        <w:rPr>
          <w:rFonts w:hint="eastAsia" w:ascii="楷体_GB2312" w:hAnsi="楷体_GB2312" w:eastAsia="楷体_GB2312" w:cs="楷体_GB2312"/>
          <w:color w:val="auto"/>
          <w:shd w:val="clear" w:color="auto" w:fill="FFFFFF"/>
          <w:lang w:val="en-US" w:eastAsia="zh-CN"/>
        </w:rPr>
        <w:t>体验和感受中医药文化的重要载体。</w:t>
      </w:r>
    </w:p>
    <w:p w14:paraId="0143F054">
      <w:pPr>
        <w:ind w:firstLine="420" w:firstLineChars="200"/>
        <w:rPr>
          <w:rFonts w:hint="default" w:ascii="楷体_GB2312" w:hAnsi="楷体_GB2312" w:eastAsia="楷体_GB2312" w:cs="楷体_GB2312"/>
          <w:color w:val="auto"/>
          <w:shd w:val="clear" w:color="auto" w:fill="FFFFFF"/>
          <w:lang w:val="en-US" w:eastAsia="zh-CN"/>
        </w:rPr>
      </w:pPr>
    </w:p>
    <w:tbl>
      <w:tblPr>
        <w:tblStyle w:val="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674"/>
        <w:gridCol w:w="4614"/>
      </w:tblGrid>
      <w:tr w14:paraId="5A09BC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4746" w:type="dxa"/>
          </w:tcPr>
          <w:p w14:paraId="6192F1B6">
            <w:pPr>
              <w:rPr>
                <w:rFonts w:hint="default" w:ascii="楷体_GB2312" w:hAnsi="楷体_GB2312" w:eastAsia="楷体_GB2312" w:cs="楷体_GB2312"/>
                <w:color w:val="auto"/>
                <w:shd w:val="clear" w:color="auto" w:fill="FFFFFF"/>
                <w:vertAlign w:val="baseline"/>
                <w:lang w:val="en-US" w:eastAsia="zh-CN"/>
              </w:rPr>
            </w:pPr>
            <w:r>
              <w:rPr>
                <w:rFonts w:hint="default" w:ascii="楷体_GB2312" w:hAnsi="楷体_GB2312" w:eastAsia="楷体_GB2312" w:cs="楷体_GB2312"/>
                <w:color w:val="auto"/>
                <w:shd w:val="clear" w:color="auto" w:fill="FFFFFF"/>
                <w:vertAlign w:val="baseline"/>
                <w:lang w:val="en-US" w:eastAsia="zh-CN"/>
              </w:rPr>
              <w:drawing>
                <wp:inline distT="0" distB="0" distL="114300" distR="114300">
                  <wp:extent cx="2860040" cy="2314575"/>
                  <wp:effectExtent l="0" t="0" r="16510" b="9525"/>
                  <wp:docPr id="6" name="图片 6" descr="6ff6e0145cf53ba32c87e8c06b8fd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6ff6e0145cf53ba32c87e8c06b8fd4b"/>
                          <pic:cNvPicPr>
                            <a:picLocks noChangeAspect="1"/>
                          </pic:cNvPicPr>
                        </pic:nvPicPr>
                        <pic:blipFill>
                          <a:blip r:embed="rId7"/>
                          <a:stretch>
                            <a:fillRect/>
                          </a:stretch>
                        </pic:blipFill>
                        <pic:spPr>
                          <a:xfrm>
                            <a:off x="0" y="0"/>
                            <a:ext cx="2860040" cy="2314575"/>
                          </a:xfrm>
                          <a:prstGeom prst="rect">
                            <a:avLst/>
                          </a:prstGeom>
                        </pic:spPr>
                      </pic:pic>
                    </a:graphicData>
                  </a:graphic>
                </wp:inline>
              </w:drawing>
            </w:r>
          </w:p>
        </w:tc>
        <w:tc>
          <w:tcPr>
            <w:tcW w:w="4542" w:type="dxa"/>
          </w:tcPr>
          <w:p w14:paraId="579F0F56">
            <w:pPr>
              <w:rPr>
                <w:rFonts w:hint="default" w:ascii="楷体_GB2312" w:hAnsi="楷体_GB2312" w:eastAsia="楷体_GB2312" w:cs="楷体_GB2312"/>
                <w:color w:val="auto"/>
                <w:shd w:val="clear" w:color="auto" w:fill="FFFFFF"/>
                <w:vertAlign w:val="baseline"/>
                <w:lang w:val="en-US" w:eastAsia="zh-CN"/>
              </w:rPr>
            </w:pPr>
            <w:r>
              <w:rPr>
                <w:rFonts w:ascii="楷体_GB2312" w:hAnsi="楷体_GB2312" w:eastAsia="楷体_GB2312" w:cs="楷体_GB2312"/>
                <w:color w:val="auto"/>
                <w:sz w:val="24"/>
              </w:rPr>
              <w:drawing>
                <wp:inline distT="0" distB="0" distL="0" distR="0">
                  <wp:extent cx="2815590" cy="2288540"/>
                  <wp:effectExtent l="0" t="0" r="3810" b="16510"/>
                  <wp:docPr id="16" name="图片 16" descr="F:\文化墙图片、文字\六大实训中心\中药技能实训中心\微信图片_20201121143520 - 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F:\文化墙图片、文字\六大实训中心\中药技能实训中心\微信图片_20201121143520 - 副本.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2815590" cy="2288540"/>
                          </a:xfrm>
                          <a:prstGeom prst="rect">
                            <a:avLst/>
                          </a:prstGeom>
                          <a:noFill/>
                          <a:ln>
                            <a:noFill/>
                          </a:ln>
                        </pic:spPr>
                      </pic:pic>
                    </a:graphicData>
                  </a:graphic>
                </wp:inline>
              </w:drawing>
            </w:r>
          </w:p>
        </w:tc>
      </w:tr>
      <w:tr w14:paraId="79FA20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746" w:type="dxa"/>
          </w:tcPr>
          <w:p w14:paraId="5ADBB25E">
            <w:pPr>
              <w:jc w:val="center"/>
              <w:rPr>
                <w:rFonts w:hint="default" w:ascii="楷体_GB2312" w:hAnsi="楷体_GB2312" w:eastAsia="楷体_GB2312" w:cs="楷体_GB2312"/>
                <w:color w:val="auto"/>
                <w:shd w:val="clear" w:color="auto" w:fill="FFFFFF"/>
                <w:vertAlign w:val="baseline"/>
                <w:lang w:val="en-US" w:eastAsia="zh-CN"/>
              </w:rPr>
            </w:pPr>
            <w:r>
              <w:rPr>
                <w:rFonts w:hint="eastAsia" w:ascii="楷体_GB2312" w:hAnsi="楷体_GB2312" w:eastAsia="楷体_GB2312" w:cs="楷体_GB2312"/>
                <w:color w:val="auto"/>
                <w:shd w:val="clear" w:color="auto" w:fill="FFFFFF"/>
                <w:vertAlign w:val="baseline"/>
                <w:lang w:val="en-US" w:eastAsia="zh-CN"/>
              </w:rPr>
              <w:t>济南市中医药文化博物馆</w:t>
            </w:r>
          </w:p>
        </w:tc>
        <w:tc>
          <w:tcPr>
            <w:tcW w:w="4542" w:type="dxa"/>
          </w:tcPr>
          <w:p w14:paraId="5EC7B870">
            <w:pPr>
              <w:jc w:val="center"/>
              <w:rPr>
                <w:rFonts w:hint="default" w:ascii="楷体_GB2312" w:hAnsi="楷体_GB2312" w:eastAsia="楷体_GB2312" w:cs="楷体_GB2312"/>
                <w:color w:val="auto"/>
                <w:shd w:val="clear" w:color="auto" w:fill="FFFFFF"/>
                <w:vertAlign w:val="baseline"/>
                <w:lang w:val="en-US" w:eastAsia="zh-CN"/>
              </w:rPr>
            </w:pPr>
            <w:r>
              <w:rPr>
                <w:rFonts w:hint="eastAsia" w:ascii="楷体_GB2312" w:hAnsi="楷体_GB2312" w:eastAsia="楷体_GB2312" w:cs="楷体_GB2312"/>
                <w:color w:val="auto"/>
                <w:shd w:val="clear" w:color="auto" w:fill="FFFFFF"/>
                <w:vertAlign w:val="baseline"/>
                <w:lang w:val="en-US" w:eastAsia="zh-CN"/>
              </w:rPr>
              <w:t>中药炮制实训室</w:t>
            </w:r>
          </w:p>
        </w:tc>
      </w:tr>
      <w:tr w14:paraId="3B0885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746" w:type="dxa"/>
          </w:tcPr>
          <w:p w14:paraId="3744A2F3">
            <w:pPr>
              <w:jc w:val="center"/>
              <w:rPr>
                <w:rFonts w:hint="eastAsia" w:ascii="楷体_GB2312" w:hAnsi="楷体_GB2312" w:eastAsia="楷体_GB2312" w:cs="楷体_GB2312"/>
                <w:color w:val="auto"/>
                <w:shd w:val="clear" w:color="auto" w:fill="FFFFFF"/>
                <w:vertAlign w:val="baseline"/>
                <w:lang w:val="en-US" w:eastAsia="zh-CN"/>
              </w:rPr>
            </w:pPr>
            <w:r>
              <w:drawing>
                <wp:inline distT="0" distB="0" distL="114300" distR="114300">
                  <wp:extent cx="2845435" cy="2034540"/>
                  <wp:effectExtent l="0" t="0" r="12065" b="3810"/>
                  <wp:docPr id="1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5"/>
                          <pic:cNvPicPr>
                            <a:picLocks noChangeAspect="1"/>
                          </pic:cNvPicPr>
                        </pic:nvPicPr>
                        <pic:blipFill>
                          <a:blip r:embed="rId9" cstate="print"/>
                          <a:stretch>
                            <a:fillRect/>
                          </a:stretch>
                        </pic:blipFill>
                        <pic:spPr>
                          <a:xfrm>
                            <a:off x="0" y="0"/>
                            <a:ext cx="2845435" cy="2034540"/>
                          </a:xfrm>
                          <a:prstGeom prst="rect">
                            <a:avLst/>
                          </a:prstGeom>
                        </pic:spPr>
                      </pic:pic>
                    </a:graphicData>
                  </a:graphic>
                </wp:inline>
              </w:drawing>
            </w:r>
          </w:p>
        </w:tc>
        <w:tc>
          <w:tcPr>
            <w:tcW w:w="4542" w:type="dxa"/>
          </w:tcPr>
          <w:p w14:paraId="6C42BA09">
            <w:pPr>
              <w:jc w:val="left"/>
              <w:rPr>
                <w:rFonts w:hint="eastAsia" w:ascii="楷体_GB2312" w:hAnsi="楷体_GB2312" w:eastAsia="楷体_GB2312" w:cs="楷体_GB2312"/>
                <w:color w:val="auto"/>
                <w:shd w:val="clear" w:color="auto" w:fill="FFFFFF"/>
                <w:vertAlign w:val="baseline"/>
                <w:lang w:val="en-US" w:eastAsia="zh-CN"/>
              </w:rPr>
            </w:pPr>
            <w:r>
              <w:drawing>
                <wp:inline distT="0" distB="0" distL="114300" distR="114300">
                  <wp:extent cx="2838450" cy="2094865"/>
                  <wp:effectExtent l="0" t="0" r="0" b="635"/>
                  <wp:docPr id="2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9"/>
                          <pic:cNvPicPr>
                            <a:picLocks noChangeAspect="1"/>
                          </pic:cNvPicPr>
                        </pic:nvPicPr>
                        <pic:blipFill>
                          <a:blip r:embed="rId10" cstate="print"/>
                          <a:stretch>
                            <a:fillRect/>
                          </a:stretch>
                        </pic:blipFill>
                        <pic:spPr>
                          <a:xfrm>
                            <a:off x="0" y="0"/>
                            <a:ext cx="2838450" cy="2094865"/>
                          </a:xfrm>
                          <a:prstGeom prst="rect">
                            <a:avLst/>
                          </a:prstGeom>
                        </pic:spPr>
                      </pic:pic>
                    </a:graphicData>
                  </a:graphic>
                </wp:inline>
              </w:drawing>
            </w:r>
          </w:p>
        </w:tc>
      </w:tr>
      <w:tr w14:paraId="2B3541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746" w:type="dxa"/>
          </w:tcPr>
          <w:p w14:paraId="3ABA7B44">
            <w:pPr>
              <w:ind w:firstLine="1890" w:firstLineChars="900"/>
              <w:jc w:val="both"/>
              <w:rPr>
                <w:rFonts w:hint="default" w:ascii="楷体_GB2312" w:hAnsi="楷体_GB2312" w:eastAsia="楷体_GB2312" w:cs="楷体_GB2312"/>
                <w:color w:val="auto"/>
                <w:shd w:val="clear" w:color="auto" w:fill="FFFFFF"/>
                <w:vertAlign w:val="baseline"/>
                <w:lang w:val="en-US" w:eastAsia="zh-CN"/>
              </w:rPr>
            </w:pPr>
            <w:r>
              <w:rPr>
                <w:rFonts w:hint="eastAsia" w:ascii="楷体_GB2312" w:hAnsi="楷体_GB2312" w:eastAsia="楷体_GB2312" w:cs="楷体_GB2312"/>
                <w:color w:val="auto"/>
                <w:shd w:val="clear" w:color="auto" w:fill="FFFFFF"/>
                <w:vertAlign w:val="baseline"/>
                <w:lang w:val="en-US" w:eastAsia="zh-CN"/>
              </w:rPr>
              <w:t>精密仪器室</w:t>
            </w:r>
          </w:p>
        </w:tc>
        <w:tc>
          <w:tcPr>
            <w:tcW w:w="4542" w:type="dxa"/>
          </w:tcPr>
          <w:p w14:paraId="796D0177">
            <w:pPr>
              <w:jc w:val="center"/>
              <w:rPr>
                <w:rFonts w:hint="eastAsia" w:ascii="楷体_GB2312" w:hAnsi="楷体_GB2312" w:eastAsia="楷体_GB2312" w:cs="楷体_GB2312"/>
                <w:color w:val="auto"/>
                <w:shd w:val="clear" w:color="auto" w:fill="FFFFFF"/>
                <w:vertAlign w:val="baseline"/>
                <w:lang w:val="en-US" w:eastAsia="zh-CN"/>
              </w:rPr>
            </w:pPr>
            <w:r>
              <w:rPr>
                <w:rFonts w:hint="eastAsia" w:ascii="楷体_GB2312" w:hAnsi="楷体_GB2312" w:eastAsia="楷体_GB2312" w:cs="楷体_GB2312"/>
                <w:color w:val="auto"/>
                <w:shd w:val="clear" w:color="auto" w:fill="FFFFFF"/>
                <w:vertAlign w:val="baseline"/>
                <w:lang w:val="en-US" w:eastAsia="zh-CN"/>
              </w:rPr>
              <w:t>中药鉴定实训室</w:t>
            </w:r>
          </w:p>
        </w:tc>
      </w:tr>
    </w:tbl>
    <w:p w14:paraId="68C8742D">
      <w:pPr>
        <w:ind w:firstLine="420" w:firstLineChars="200"/>
        <w:rPr>
          <w:rFonts w:hint="default" w:ascii="楷体_GB2312" w:hAnsi="楷体_GB2312" w:eastAsia="楷体_GB2312" w:cs="楷体_GB2312"/>
          <w:color w:val="auto"/>
          <w:shd w:val="clear" w:color="auto" w:fill="FFFFFF"/>
          <w:lang w:val="en-US" w:eastAsia="zh-CN"/>
        </w:rPr>
      </w:pPr>
    </w:p>
    <w:p w14:paraId="0F8F1AF7">
      <w:pPr>
        <w:pStyle w:val="7"/>
        <w:widowControl/>
        <w:spacing w:beforeAutospacing="0" w:afterAutospacing="0" w:line="360" w:lineRule="auto"/>
        <w:ind w:firstLine="480" w:firstLineChars="200"/>
        <w:rPr>
          <w:rFonts w:hint="eastAsia" w:ascii="楷体_GB2312" w:hAnsi="楷体_GB2312" w:eastAsia="楷体_GB2312" w:cs="楷体_GB2312"/>
          <w:color w:val="auto"/>
          <w:shd w:val="clear" w:color="auto" w:fill="FFFFFF"/>
        </w:rPr>
      </w:pPr>
      <w:r>
        <w:rPr>
          <w:rFonts w:hint="eastAsia" w:ascii="楷体_GB2312" w:hAnsi="楷体_GB2312" w:eastAsia="楷体_GB2312" w:cs="楷体_GB2312"/>
          <w:color w:val="auto"/>
          <w:shd w:val="clear" w:color="auto" w:fill="FFFFFF"/>
          <w:lang w:val="en-US" w:eastAsia="zh-CN"/>
        </w:rPr>
        <w:t>2.</w:t>
      </w:r>
      <w:r>
        <w:rPr>
          <w:rFonts w:hint="eastAsia" w:ascii="楷体_GB2312" w:hAnsi="楷体_GB2312" w:eastAsia="楷体_GB2312" w:cs="楷体_GB2312"/>
          <w:color w:val="auto"/>
          <w:shd w:val="clear" w:color="auto" w:fill="FFFFFF"/>
        </w:rPr>
        <w:t>校外实训基地</w:t>
      </w:r>
    </w:p>
    <w:p w14:paraId="45CE4EB6">
      <w:pPr>
        <w:pStyle w:val="7"/>
        <w:widowControl/>
        <w:spacing w:beforeAutospacing="0" w:afterAutospacing="0" w:line="360" w:lineRule="auto"/>
        <w:ind w:firstLine="480" w:firstLineChars="200"/>
        <w:jc w:val="both"/>
        <w:rPr>
          <w:rFonts w:hint="eastAsia" w:ascii="楷体_GB2312" w:hAnsi="楷体_GB2312" w:eastAsia="楷体_GB2312" w:cs="楷体_GB2312"/>
          <w:color w:val="auto"/>
          <w:shd w:val="clear" w:color="auto" w:fill="FFFFFF"/>
        </w:rPr>
      </w:pPr>
      <w:r>
        <w:rPr>
          <w:rFonts w:hint="eastAsia" w:ascii="楷体_GB2312" w:hAnsi="楷体_GB2312" w:eastAsia="楷体_GB2312" w:cs="楷体_GB2312"/>
          <w:color w:val="auto"/>
          <w:shd w:val="clear" w:color="auto" w:fill="FFFFFF"/>
          <w:lang w:eastAsia="zh-CN"/>
        </w:rPr>
        <w:t>该</w:t>
      </w:r>
      <w:r>
        <w:rPr>
          <w:rFonts w:hint="eastAsia" w:ascii="楷体_GB2312" w:hAnsi="楷体_GB2312" w:eastAsia="楷体_GB2312" w:cs="楷体_GB2312"/>
          <w:color w:val="auto"/>
          <w:shd w:val="clear" w:color="auto" w:fill="FFFFFF"/>
        </w:rPr>
        <w:t>专业教学注重学生实践操作能力培养和积累，与山东省立医院、</w:t>
      </w:r>
      <w:r>
        <w:rPr>
          <w:rFonts w:hint="eastAsia" w:ascii="楷体_GB2312" w:hAnsi="楷体_GB2312" w:eastAsia="楷体_GB2312" w:cs="楷体_GB2312"/>
          <w:color w:val="auto"/>
          <w:shd w:val="clear" w:color="auto" w:fill="FFFFFF"/>
          <w:lang w:val="en-US" w:eastAsia="zh-CN"/>
        </w:rPr>
        <w:t>齐鲁制药、</w:t>
      </w:r>
      <w:r>
        <w:rPr>
          <w:rFonts w:hint="eastAsia" w:ascii="楷体_GB2312" w:hAnsi="楷体_GB2312" w:eastAsia="楷体_GB2312" w:cs="楷体_GB2312"/>
          <w:b w:val="0"/>
          <w:bCs w:val="0"/>
          <w:color w:val="auto"/>
          <w:kern w:val="0"/>
          <w:sz w:val="24"/>
          <w:szCs w:val="24"/>
          <w:shd w:val="clear" w:color="auto" w:fill="FFFFFF"/>
          <w:lang w:val="en-US" w:eastAsia="zh-CN" w:bidi="ar-SA"/>
        </w:rPr>
        <w:t>山东中医药大学附属医院、</w:t>
      </w:r>
      <w:r>
        <w:rPr>
          <w:rFonts w:hint="eastAsia" w:ascii="楷体_GB2312" w:hAnsi="楷体_GB2312" w:eastAsia="楷体_GB2312" w:cs="楷体_GB2312"/>
          <w:color w:val="auto"/>
          <w:shd w:val="clear" w:color="auto" w:fill="FFFFFF"/>
        </w:rPr>
        <w:t>山东中医药大学第二附属医院等省内外近30家</w:t>
      </w:r>
      <w:r>
        <w:rPr>
          <w:rFonts w:hint="eastAsia" w:ascii="楷体_GB2312" w:hAnsi="楷体_GB2312" w:eastAsia="楷体_GB2312" w:cs="楷体_GB2312"/>
          <w:color w:val="auto"/>
          <w:shd w:val="clear" w:color="auto" w:fill="FFFFFF"/>
          <w:lang w:eastAsia="zh-CN"/>
        </w:rPr>
        <w:t>知名</w:t>
      </w:r>
      <w:r>
        <w:rPr>
          <w:rFonts w:hint="eastAsia" w:ascii="楷体_GB2312" w:hAnsi="楷体_GB2312" w:eastAsia="楷体_GB2312" w:cs="楷体_GB2312"/>
          <w:color w:val="auto"/>
          <w:shd w:val="clear" w:color="auto" w:fill="FFFFFF"/>
        </w:rPr>
        <w:t>医疗机构</w:t>
      </w:r>
      <w:r>
        <w:rPr>
          <w:rFonts w:hint="eastAsia" w:ascii="楷体_GB2312" w:hAnsi="楷体_GB2312" w:eastAsia="楷体_GB2312" w:cs="楷体_GB2312"/>
          <w:color w:val="auto"/>
          <w:shd w:val="clear" w:color="auto" w:fill="FFFFFF"/>
          <w:lang w:eastAsia="zh-CN"/>
        </w:rPr>
        <w:t>、企业</w:t>
      </w:r>
      <w:r>
        <w:rPr>
          <w:rFonts w:hint="eastAsia" w:ascii="楷体_GB2312" w:hAnsi="楷体_GB2312" w:eastAsia="楷体_GB2312" w:cs="楷体_GB2312"/>
          <w:color w:val="auto"/>
          <w:shd w:val="clear" w:color="auto" w:fill="FFFFFF"/>
        </w:rPr>
        <w:t>建立了实习合作关系，为学生提供实训、实习等机会。</w:t>
      </w:r>
    </w:p>
    <w:tbl>
      <w:tblPr>
        <w:tblStyle w:val="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656"/>
        <w:gridCol w:w="4632"/>
      </w:tblGrid>
      <w:tr w14:paraId="131480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644" w:type="dxa"/>
          </w:tcPr>
          <w:p w14:paraId="77775D1F">
            <w:pPr>
              <w:pStyle w:val="7"/>
              <w:widowControl/>
              <w:spacing w:beforeAutospacing="0" w:afterAutospacing="0" w:line="360" w:lineRule="auto"/>
              <w:jc w:val="both"/>
              <w:rPr>
                <w:rFonts w:hint="eastAsia" w:ascii="楷体_GB2312" w:hAnsi="楷体_GB2312" w:eastAsia="楷体_GB2312" w:cs="楷体_GB2312"/>
                <w:color w:val="auto"/>
                <w:shd w:val="clear" w:color="auto" w:fill="FFFFFF"/>
                <w:vertAlign w:val="baseline"/>
              </w:rPr>
            </w:pPr>
            <w:r>
              <w:rPr>
                <w:rFonts w:ascii="Microsoft YaHei UI" w:hAnsi="Microsoft YaHei UI" w:eastAsia="Microsoft YaHei UI" w:cs="Microsoft YaHei UI"/>
                <w:color w:val="auto"/>
                <w:spacing w:val="15"/>
                <w:sz w:val="22"/>
                <w:szCs w:val="22"/>
                <w:shd w:val="clear" w:color="auto" w:fill="FFFFFF"/>
              </w:rPr>
              <w:drawing>
                <wp:inline distT="0" distB="0" distL="0" distR="0">
                  <wp:extent cx="2800985" cy="2265045"/>
                  <wp:effectExtent l="0" t="0" r="18415" b="1905"/>
                  <wp:docPr id="10" name="图片 10" descr="J:\台式机\药学系\校内报道\2021年\照片\843626475801127eba24371145918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J:\台式机\药学系\校内报道\2021年\照片\843626475801127eba243711459183d.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800985" cy="2265045"/>
                          </a:xfrm>
                          <a:prstGeom prst="rect">
                            <a:avLst/>
                          </a:prstGeom>
                          <a:noFill/>
                          <a:ln>
                            <a:noFill/>
                          </a:ln>
                        </pic:spPr>
                      </pic:pic>
                    </a:graphicData>
                  </a:graphic>
                </wp:inline>
              </w:drawing>
            </w:r>
          </w:p>
        </w:tc>
        <w:tc>
          <w:tcPr>
            <w:tcW w:w="4644" w:type="dxa"/>
          </w:tcPr>
          <w:p w14:paraId="40BD4A6D">
            <w:pPr>
              <w:pStyle w:val="7"/>
              <w:widowControl/>
              <w:spacing w:beforeAutospacing="0" w:afterAutospacing="0" w:line="360" w:lineRule="auto"/>
              <w:jc w:val="both"/>
              <w:rPr>
                <w:rFonts w:hint="eastAsia" w:ascii="楷体_GB2312" w:hAnsi="楷体_GB2312" w:eastAsia="楷体_GB2312" w:cs="楷体_GB2312"/>
                <w:color w:val="auto"/>
                <w:shd w:val="clear" w:color="auto" w:fill="FFFFFF"/>
                <w:vertAlign w:val="baseline"/>
              </w:rPr>
            </w:pPr>
            <w:r>
              <w:rPr>
                <w:rFonts w:ascii="Microsoft YaHei UI" w:hAnsi="Microsoft YaHei UI" w:eastAsia="Microsoft YaHei UI" w:cs="Microsoft YaHei UI"/>
                <w:color w:val="auto"/>
                <w:spacing w:val="15"/>
                <w:sz w:val="22"/>
                <w:szCs w:val="22"/>
                <w:shd w:val="clear" w:color="auto" w:fill="FFFFFF"/>
              </w:rPr>
              <w:drawing>
                <wp:inline distT="0" distB="0" distL="0" distR="0">
                  <wp:extent cx="2788920" cy="2252345"/>
                  <wp:effectExtent l="0" t="0" r="11430" b="14605"/>
                  <wp:docPr id="11" name="图片 11" descr="H:\手机照片\20210407\IMG_20210324_165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H:\手机照片\20210407\IMG_20210324_16592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788920" cy="2252345"/>
                          </a:xfrm>
                          <a:prstGeom prst="rect">
                            <a:avLst/>
                          </a:prstGeom>
                          <a:noFill/>
                          <a:ln>
                            <a:noFill/>
                          </a:ln>
                        </pic:spPr>
                      </pic:pic>
                    </a:graphicData>
                  </a:graphic>
                </wp:inline>
              </w:drawing>
            </w:r>
          </w:p>
        </w:tc>
      </w:tr>
      <w:tr w14:paraId="0EF253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4644" w:type="dxa"/>
            <w:vAlign w:val="center"/>
          </w:tcPr>
          <w:p w14:paraId="488D4D53">
            <w:pPr>
              <w:pStyle w:val="7"/>
              <w:widowControl/>
              <w:spacing w:beforeAutospacing="0" w:afterAutospacing="0" w:line="360" w:lineRule="auto"/>
              <w:jc w:val="center"/>
              <w:rPr>
                <w:rFonts w:hint="eastAsia" w:ascii="楷体_GB2312" w:hAnsi="楷体_GB2312" w:eastAsia="楷体_GB2312" w:cs="楷体_GB2312"/>
                <w:color w:val="auto"/>
                <w:shd w:val="clear" w:color="auto" w:fill="FFFFFF"/>
                <w:vertAlign w:val="baseline"/>
              </w:rPr>
            </w:pPr>
            <w:r>
              <w:rPr>
                <w:rFonts w:hint="eastAsia" w:ascii="楷体_GB2312" w:hAnsi="楷体_GB2312" w:eastAsia="楷体_GB2312" w:cs="楷体_GB2312"/>
                <w:color w:val="auto"/>
                <w:kern w:val="2"/>
                <w:sz w:val="21"/>
                <w:szCs w:val="24"/>
                <w:shd w:val="clear" w:color="auto" w:fill="FFFFFF"/>
                <w:vertAlign w:val="baseline"/>
                <w:lang w:val="en-US" w:eastAsia="zh-CN" w:bidi="ar-SA"/>
              </w:rPr>
              <w:t>实习就业基地-齐鲁制药有限公司</w:t>
            </w:r>
          </w:p>
        </w:tc>
        <w:tc>
          <w:tcPr>
            <w:tcW w:w="4644" w:type="dxa"/>
            <w:vAlign w:val="center"/>
          </w:tcPr>
          <w:p w14:paraId="6B426864">
            <w:pPr>
              <w:pStyle w:val="7"/>
              <w:keepNext w:val="0"/>
              <w:keepLines w:val="0"/>
              <w:pageBreakBefore w:val="0"/>
              <w:widowControl/>
              <w:kinsoku/>
              <w:wordWrap/>
              <w:overflowPunct/>
              <w:topLinePunct w:val="0"/>
              <w:autoSpaceDE/>
              <w:autoSpaceDN/>
              <w:bidi w:val="0"/>
              <w:adjustRightInd/>
              <w:snapToGrid/>
              <w:spacing w:beforeAutospacing="0" w:afterAutospacing="0" w:line="240" w:lineRule="atLeast"/>
              <w:ind w:firstLine="630" w:firstLineChars="300"/>
              <w:jc w:val="center"/>
              <w:textAlignment w:val="auto"/>
              <w:rPr>
                <w:rFonts w:hint="eastAsia" w:ascii="楷体_GB2312" w:hAnsi="楷体_GB2312" w:eastAsia="楷体_GB2312" w:cs="楷体_GB2312"/>
                <w:color w:val="auto"/>
                <w:shd w:val="clear" w:color="auto" w:fill="FFFFFF"/>
                <w:vertAlign w:val="baseline"/>
              </w:rPr>
            </w:pPr>
            <w:r>
              <w:rPr>
                <w:rFonts w:hint="eastAsia" w:ascii="楷体_GB2312" w:hAnsi="楷体_GB2312" w:eastAsia="楷体_GB2312" w:cs="楷体_GB2312"/>
                <w:color w:val="auto"/>
                <w:kern w:val="2"/>
                <w:sz w:val="21"/>
                <w:szCs w:val="24"/>
                <w:shd w:val="clear" w:color="auto" w:fill="FFFFFF"/>
                <w:vertAlign w:val="baseline"/>
                <w:lang w:val="en-US" w:eastAsia="zh-CN" w:bidi="ar-SA"/>
              </w:rPr>
              <w:t>实习就业基地-济南市机关医院</w:t>
            </w:r>
          </w:p>
        </w:tc>
      </w:tr>
    </w:tbl>
    <w:p w14:paraId="65970D64">
      <w:pPr>
        <w:widowControl/>
        <w:spacing w:line="360" w:lineRule="auto"/>
        <w:jc w:val="left"/>
        <w:rPr>
          <w:rStyle w:val="11"/>
          <w:rFonts w:hint="eastAsia" w:ascii="楷体_GB2312" w:hAnsi="楷体_GB2312" w:eastAsia="楷体_GB2312" w:cs="楷体_GB2312"/>
          <w:bCs/>
          <w:color w:val="auto"/>
          <w:spacing w:val="8"/>
          <w:kern w:val="0"/>
          <w:sz w:val="24"/>
          <w:szCs w:val="24"/>
          <w:shd w:val="clear" w:color="auto" w:fill="FFFFFF"/>
          <w:lang w:val="en-US" w:eastAsia="zh-CN" w:bidi="ar"/>
        </w:rPr>
      </w:pPr>
      <w:r>
        <w:rPr>
          <w:rStyle w:val="11"/>
          <w:rFonts w:hint="eastAsia" w:ascii="楷体_GB2312" w:hAnsi="楷体_GB2312" w:eastAsia="楷体_GB2312" w:cs="楷体_GB2312"/>
          <w:bCs/>
          <w:color w:val="auto"/>
          <w:spacing w:val="8"/>
          <w:kern w:val="0"/>
          <w:sz w:val="24"/>
          <w:szCs w:val="24"/>
          <w:shd w:val="clear" w:color="auto" w:fill="FFFFFF"/>
          <w:lang w:eastAsia="zh-CN" w:bidi="ar"/>
        </w:rPr>
        <w:t>六、创新创业</w:t>
      </w:r>
      <w:r>
        <w:rPr>
          <w:rStyle w:val="11"/>
          <w:rFonts w:hint="eastAsia" w:ascii="楷体_GB2312" w:hAnsi="楷体_GB2312" w:eastAsia="楷体_GB2312" w:cs="楷体_GB2312"/>
          <w:bCs/>
          <w:color w:val="auto"/>
          <w:spacing w:val="8"/>
          <w:kern w:val="0"/>
          <w:sz w:val="24"/>
          <w:szCs w:val="24"/>
          <w:shd w:val="clear" w:color="auto" w:fill="FFFFFF"/>
          <w:lang w:bidi="ar"/>
        </w:rPr>
        <w:t>与</w:t>
      </w:r>
      <w:r>
        <w:rPr>
          <w:rStyle w:val="11"/>
          <w:rFonts w:hint="eastAsia" w:ascii="楷体_GB2312" w:hAnsi="楷体_GB2312" w:eastAsia="楷体_GB2312" w:cs="楷体_GB2312"/>
          <w:bCs/>
          <w:color w:val="auto"/>
          <w:spacing w:val="8"/>
          <w:kern w:val="0"/>
          <w:sz w:val="24"/>
          <w:szCs w:val="24"/>
          <w:shd w:val="clear" w:color="auto" w:fill="FFFFFF"/>
          <w:lang w:val="en-US" w:eastAsia="zh-CN" w:bidi="ar"/>
        </w:rPr>
        <w:t>学历提升</w:t>
      </w:r>
    </w:p>
    <w:p w14:paraId="0A54DC8D">
      <w:pPr>
        <w:pStyle w:val="7"/>
        <w:widowControl/>
        <w:spacing w:beforeAutospacing="0" w:afterAutospacing="0" w:line="360" w:lineRule="auto"/>
        <w:ind w:firstLine="480" w:firstLineChars="200"/>
        <w:rPr>
          <w:rFonts w:hint="eastAsia" w:ascii="楷体_GB2312" w:hAnsi="楷体_GB2312" w:eastAsia="楷体_GB2312" w:cs="楷体_GB2312"/>
          <w:color w:val="auto"/>
          <w:shd w:val="clear" w:color="auto" w:fill="FFFFFF"/>
          <w:lang w:val="en-US" w:eastAsia="zh-CN"/>
        </w:rPr>
      </w:pPr>
      <w:r>
        <w:rPr>
          <w:rFonts w:hint="eastAsia" w:ascii="楷体_GB2312" w:hAnsi="楷体_GB2312" w:eastAsia="楷体_GB2312" w:cs="楷体_GB2312"/>
          <w:color w:val="auto"/>
          <w:shd w:val="clear" w:color="auto" w:fill="FFFFFF"/>
          <w:lang w:val="en-US" w:eastAsia="zh-CN"/>
        </w:rPr>
        <w:t>1.创新创业大赛</w:t>
      </w:r>
    </w:p>
    <w:p w14:paraId="776B8CB5">
      <w:pPr>
        <w:spacing w:line="360" w:lineRule="auto"/>
        <w:ind w:firstLine="480" w:firstLineChars="200"/>
        <w:rPr>
          <w:rFonts w:hint="default" w:ascii="楷体_GB2312" w:hAnsi="楷体_GB2312" w:eastAsia="楷体_GB2312" w:cs="楷体_GB2312"/>
          <w:color w:val="auto"/>
          <w:kern w:val="0"/>
          <w:sz w:val="24"/>
          <w:szCs w:val="24"/>
          <w:shd w:val="clear" w:color="auto" w:fill="FFFFFF"/>
          <w:lang w:val="en-US" w:eastAsia="zh-CN" w:bidi="ar-SA"/>
        </w:rPr>
      </w:pPr>
      <w:r>
        <w:rPr>
          <w:rFonts w:hint="eastAsia" w:ascii="楷体_GB2312" w:hAnsi="楷体_GB2312" w:eastAsia="楷体_GB2312" w:cs="楷体_GB2312"/>
          <w:color w:val="auto"/>
          <w:kern w:val="0"/>
          <w:sz w:val="24"/>
          <w:szCs w:val="24"/>
          <w:shd w:val="clear" w:color="auto" w:fill="FFFFFF"/>
          <w:lang w:val="en-US" w:eastAsia="zh-CN" w:bidi="ar-SA"/>
        </w:rPr>
        <w:t>我院药学系近年来在创新创业比赛中崭露头角，屡创佳绩。5名教师入选为山东省创新创业教育导师库专家。2023年，项目“‘一口清’含漱片—一种便携有效的新型崩解漱口片”，获得山东省第五届数据应用创新创业大赛优秀奖；项目“全人群企业级毒性物质检测液相色谱柱”，获得山东省大学生医养健康创新创业大赛省赛三等奖；项目“‘泰山时光’—基于九蒸九晒技术的黄精标准化炮制工艺流程创新解决方案”，获得山东省大学生医养健康创新创业大赛省赛二等奖、山东省大学生星光原创科技赋能大赛省赛二等奖；项目“中医药文创——让中药走出去活起来”，获得山东省“中医药+”新产品创意大赛（青少年组）省赛优秀奖。2024年，项目“‘泰山时光’—基于九蒸九晒技术的黄精标准化炮制工艺流程创新解决方案”获得“挑战杯”山东省大学生创业计划竞赛（职业院校组）铜奖。</w:t>
      </w:r>
    </w:p>
    <w:p w14:paraId="659ADDB1">
      <w:pPr>
        <w:pStyle w:val="7"/>
        <w:widowControl/>
        <w:spacing w:beforeAutospacing="0" w:afterAutospacing="0" w:line="360" w:lineRule="auto"/>
        <w:ind w:firstLine="480" w:firstLineChars="200"/>
        <w:jc w:val="both"/>
        <w:rPr>
          <w:rFonts w:hint="default" w:ascii="楷体_GB2312" w:hAnsi="楷体_GB2312" w:eastAsia="楷体_GB2312" w:cs="楷体_GB2312"/>
          <w:color w:val="auto"/>
          <w:shd w:val="clear" w:color="auto" w:fill="FFFFFF"/>
        </w:rPr>
      </w:pPr>
      <w:r>
        <w:rPr>
          <w:rFonts w:hint="eastAsia" w:ascii="楷体_GB2312" w:hAnsi="楷体_GB2312" w:eastAsia="楷体_GB2312" w:cs="楷体_GB2312"/>
          <w:color w:val="auto"/>
          <w:shd w:val="clear" w:color="auto" w:fill="FFFFFF"/>
        </w:rPr>
        <w:t>2</w:t>
      </w:r>
      <w:r>
        <w:rPr>
          <w:rFonts w:hint="eastAsia" w:ascii="楷体_GB2312" w:hAnsi="楷体_GB2312" w:eastAsia="楷体_GB2312" w:cs="楷体_GB2312"/>
          <w:color w:val="auto"/>
          <w:shd w:val="clear" w:color="auto" w:fill="FFFFFF"/>
          <w:lang w:val="en-US" w:eastAsia="zh-CN"/>
        </w:rPr>
        <w:t>.</w:t>
      </w:r>
      <w:r>
        <w:rPr>
          <w:rFonts w:hint="eastAsia" w:ascii="楷体_GB2312" w:hAnsi="楷体_GB2312" w:eastAsia="楷体_GB2312" w:cs="楷体_GB2312"/>
          <w:color w:val="auto"/>
          <w:shd w:val="clear" w:color="auto" w:fill="FFFFFF"/>
        </w:rPr>
        <w:t>技能大赛</w:t>
      </w:r>
    </w:p>
    <w:p w14:paraId="133A596F">
      <w:pPr>
        <w:pStyle w:val="7"/>
        <w:widowControl/>
        <w:spacing w:beforeAutospacing="0" w:afterAutospacing="0" w:line="360" w:lineRule="auto"/>
        <w:ind w:firstLine="480" w:firstLineChars="200"/>
        <w:jc w:val="both"/>
        <w:rPr>
          <w:rFonts w:hint="eastAsia" w:ascii="楷体_GB2312" w:hAnsi="楷体_GB2312" w:eastAsia="楷体_GB2312" w:cs="楷体_GB2312"/>
          <w:color w:val="auto"/>
          <w:shd w:val="clear" w:color="auto" w:fill="FFFFFF"/>
        </w:rPr>
      </w:pPr>
      <w:r>
        <w:rPr>
          <w:rFonts w:hint="eastAsia" w:ascii="楷体_GB2312" w:hAnsi="楷体_GB2312" w:eastAsia="楷体_GB2312" w:cs="楷体_GB2312"/>
          <w:color w:val="auto"/>
          <w:shd w:val="clear" w:color="auto" w:fill="FFFFFF"/>
          <w:lang w:eastAsia="zh-CN"/>
        </w:rPr>
        <w:t>中</w:t>
      </w:r>
      <w:r>
        <w:rPr>
          <w:rFonts w:hint="eastAsia" w:ascii="楷体_GB2312" w:hAnsi="楷体_GB2312" w:eastAsia="楷体_GB2312" w:cs="楷体_GB2312"/>
          <w:color w:val="auto"/>
          <w:shd w:val="clear" w:color="auto" w:fill="FFFFFF"/>
        </w:rPr>
        <w:t>药学专业致力于教育教学改革及学生岗位操作能力提升，完善了“系赛-院赛-省赛-国赛”四级大赛体系，达到了“以赛促教、以赛促学、以赛促建、以赛促研”的目的。在全国医药行业职业技能竞赛</w:t>
      </w:r>
      <w:r>
        <w:rPr>
          <w:rFonts w:hint="eastAsia" w:ascii="楷体_GB2312" w:hAnsi="楷体_GB2312" w:eastAsia="楷体_GB2312" w:cs="楷体_GB2312"/>
          <w:color w:val="auto"/>
          <w:shd w:val="clear" w:color="auto" w:fill="FFFFFF"/>
          <w:lang w:eastAsia="zh-CN"/>
        </w:rPr>
        <w:t>、</w:t>
      </w:r>
      <w:r>
        <w:rPr>
          <w:rFonts w:hint="eastAsia" w:ascii="楷体_GB2312" w:hAnsi="楷体_GB2312" w:eastAsia="楷体_GB2312" w:cs="楷体_GB2312"/>
          <w:color w:val="auto"/>
          <w:shd w:val="clear" w:color="auto" w:fill="FFFFFF"/>
        </w:rPr>
        <w:t>全国职业院校中药传统技能竞赛</w:t>
      </w:r>
      <w:r>
        <w:rPr>
          <w:rFonts w:hint="eastAsia" w:ascii="楷体_GB2312" w:hAnsi="楷体_GB2312" w:eastAsia="楷体_GB2312" w:cs="楷体_GB2312"/>
          <w:color w:val="auto"/>
          <w:shd w:val="clear" w:color="auto" w:fill="FFFFFF"/>
          <w:lang w:eastAsia="zh-CN"/>
        </w:rPr>
        <w:t>、</w:t>
      </w:r>
      <w:r>
        <w:rPr>
          <w:rFonts w:hint="eastAsia" w:ascii="楷体_GB2312" w:hAnsi="楷体_GB2312" w:eastAsia="楷体_GB2312" w:cs="楷体_GB2312"/>
          <w:color w:val="auto"/>
          <w:shd w:val="clear" w:color="auto" w:fill="FFFFFF"/>
        </w:rPr>
        <w:t>山东省技能兴鲁职业技能大赛</w:t>
      </w:r>
      <w:r>
        <w:rPr>
          <w:rFonts w:hint="eastAsia" w:ascii="楷体_GB2312" w:hAnsi="楷体_GB2312" w:eastAsia="楷体_GB2312" w:cs="楷体_GB2312"/>
          <w:color w:val="auto"/>
          <w:shd w:val="clear" w:color="auto" w:fill="FFFFFF"/>
          <w:lang w:eastAsia="zh-CN"/>
        </w:rPr>
        <w:t>等比赛</w:t>
      </w:r>
      <w:r>
        <w:rPr>
          <w:rFonts w:hint="eastAsia" w:ascii="楷体_GB2312" w:hAnsi="楷体_GB2312" w:eastAsia="楷体_GB2312" w:cs="楷体_GB2312"/>
          <w:color w:val="auto"/>
          <w:shd w:val="clear" w:color="auto" w:fill="FFFFFF"/>
        </w:rPr>
        <w:t>中，</w:t>
      </w:r>
      <w:r>
        <w:rPr>
          <w:rFonts w:hint="eastAsia" w:ascii="楷体_GB2312" w:hAnsi="楷体_GB2312" w:eastAsia="楷体_GB2312" w:cs="楷体_GB2312"/>
          <w:color w:val="auto"/>
          <w:shd w:val="clear" w:color="auto" w:fill="FFFFFF"/>
          <w:lang w:eastAsia="zh-CN"/>
        </w:rPr>
        <w:t>中</w:t>
      </w:r>
      <w:r>
        <w:rPr>
          <w:rFonts w:hint="eastAsia" w:ascii="楷体_GB2312" w:hAnsi="楷体_GB2312" w:eastAsia="楷体_GB2312" w:cs="楷体_GB2312"/>
          <w:color w:val="auto"/>
          <w:shd w:val="clear" w:color="auto" w:fill="FFFFFF"/>
        </w:rPr>
        <w:t>药学专业多次获得</w:t>
      </w:r>
      <w:r>
        <w:rPr>
          <w:rFonts w:hint="eastAsia" w:ascii="楷体_GB2312" w:hAnsi="楷体_GB2312" w:eastAsia="楷体_GB2312" w:cs="楷体_GB2312"/>
          <w:color w:val="auto"/>
          <w:shd w:val="clear" w:color="auto" w:fill="FFFFFF"/>
          <w:lang w:eastAsia="zh-CN"/>
        </w:rPr>
        <w:t>优异成绩</w:t>
      </w:r>
      <w:r>
        <w:rPr>
          <w:rFonts w:hint="eastAsia" w:ascii="楷体_GB2312" w:hAnsi="楷体_GB2312" w:eastAsia="楷体_GB2312" w:cs="楷体_GB2312"/>
          <w:color w:val="auto"/>
          <w:shd w:val="clear" w:color="auto" w:fill="FFFFFF"/>
        </w:rPr>
        <w:t>。 </w:t>
      </w:r>
    </w:p>
    <w:tbl>
      <w:tblPr>
        <w:tblStyle w:val="9"/>
        <w:tblW w:w="928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688"/>
        <w:gridCol w:w="4600"/>
      </w:tblGrid>
      <w:tr w14:paraId="4B70B9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688" w:type="dxa"/>
          </w:tcPr>
          <w:p w14:paraId="48795739">
            <w:pPr>
              <w:pStyle w:val="7"/>
              <w:widowControl/>
              <w:spacing w:beforeAutospacing="0" w:afterAutospacing="0" w:line="360" w:lineRule="auto"/>
              <w:jc w:val="both"/>
              <w:rPr>
                <w:rFonts w:hint="eastAsia" w:ascii="楷体_GB2312" w:hAnsi="楷体_GB2312" w:eastAsia="楷体_GB2312" w:cs="楷体_GB2312"/>
                <w:color w:val="auto"/>
                <w:shd w:val="clear" w:color="auto" w:fill="FFFFFF"/>
                <w:vertAlign w:val="baseline"/>
                <w:lang w:eastAsia="zh-CN"/>
              </w:rPr>
            </w:pPr>
            <w:r>
              <w:rPr>
                <w:rFonts w:hint="eastAsia" w:ascii="楷体_GB2312" w:hAnsi="楷体_GB2312" w:eastAsia="楷体_GB2312" w:cs="楷体_GB2312"/>
                <w:color w:val="auto"/>
                <w:shd w:val="clear" w:color="auto" w:fill="FFFFFF"/>
                <w:vertAlign w:val="baseline"/>
                <w:lang w:eastAsia="zh-CN"/>
              </w:rPr>
              <w:drawing>
                <wp:inline distT="0" distB="0" distL="114300" distR="114300">
                  <wp:extent cx="2894965" cy="2474595"/>
                  <wp:effectExtent l="0" t="0" r="635" b="1905"/>
                  <wp:docPr id="5" name="图片 5" descr="32a3cb5a89148f56f655821e82422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32a3cb5a89148f56f655821e82422c3"/>
                          <pic:cNvPicPr>
                            <a:picLocks noChangeAspect="1"/>
                          </pic:cNvPicPr>
                        </pic:nvPicPr>
                        <pic:blipFill>
                          <a:blip r:embed="rId13"/>
                          <a:stretch>
                            <a:fillRect/>
                          </a:stretch>
                        </pic:blipFill>
                        <pic:spPr>
                          <a:xfrm>
                            <a:off x="0" y="0"/>
                            <a:ext cx="2894965" cy="2474595"/>
                          </a:xfrm>
                          <a:prstGeom prst="rect">
                            <a:avLst/>
                          </a:prstGeom>
                        </pic:spPr>
                      </pic:pic>
                    </a:graphicData>
                  </a:graphic>
                </wp:inline>
              </w:drawing>
            </w:r>
          </w:p>
        </w:tc>
        <w:tc>
          <w:tcPr>
            <w:tcW w:w="4600" w:type="dxa"/>
          </w:tcPr>
          <w:p w14:paraId="65143573">
            <w:pPr>
              <w:pStyle w:val="7"/>
              <w:widowControl/>
              <w:spacing w:beforeAutospacing="0" w:afterAutospacing="0" w:line="360" w:lineRule="auto"/>
              <w:jc w:val="both"/>
              <w:rPr>
                <w:rFonts w:hint="eastAsia" w:ascii="楷体_GB2312" w:hAnsi="楷体_GB2312" w:eastAsia="楷体_GB2312" w:cs="楷体_GB2312"/>
                <w:color w:val="auto"/>
                <w:shd w:val="clear" w:color="auto" w:fill="FFFFFF"/>
                <w:vertAlign w:val="baseline"/>
                <w:lang w:eastAsia="zh-CN"/>
              </w:rPr>
            </w:pPr>
            <w:r>
              <w:rPr>
                <w:rFonts w:hint="eastAsia" w:eastAsiaTheme="minorEastAsia"/>
                <w:color w:val="auto"/>
                <w:lang w:eastAsia="zh-CN"/>
              </w:rPr>
              <w:drawing>
                <wp:inline distT="0" distB="0" distL="114300" distR="114300">
                  <wp:extent cx="2502535" cy="2903220"/>
                  <wp:effectExtent l="0" t="0" r="11430" b="12065"/>
                  <wp:docPr id="2" name="图片 2" descr="张日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张日成"/>
                          <pic:cNvPicPr>
                            <a:picLocks noChangeAspect="1"/>
                          </pic:cNvPicPr>
                        </pic:nvPicPr>
                        <pic:blipFill>
                          <a:blip r:embed="rId14"/>
                          <a:stretch>
                            <a:fillRect/>
                          </a:stretch>
                        </pic:blipFill>
                        <pic:spPr>
                          <a:xfrm rot="5400000">
                            <a:off x="0" y="0"/>
                            <a:ext cx="2502535" cy="2903220"/>
                          </a:xfrm>
                          <a:prstGeom prst="rect">
                            <a:avLst/>
                          </a:prstGeom>
                        </pic:spPr>
                      </pic:pic>
                    </a:graphicData>
                  </a:graphic>
                </wp:inline>
              </w:drawing>
            </w:r>
          </w:p>
        </w:tc>
      </w:tr>
    </w:tbl>
    <w:p w14:paraId="7D2AE74B">
      <w:pPr>
        <w:widowControl/>
        <w:spacing w:line="360" w:lineRule="auto"/>
        <w:jc w:val="center"/>
        <w:rPr>
          <w:rFonts w:hint="eastAsia" w:ascii="楷体_GB2312" w:hAnsi="楷体_GB2312" w:eastAsia="楷体_GB2312" w:cs="楷体_GB2312"/>
          <w:color w:val="auto"/>
          <w:kern w:val="2"/>
          <w:sz w:val="21"/>
          <w:szCs w:val="24"/>
          <w:shd w:val="clear" w:color="auto" w:fill="FFFFFF"/>
          <w:vertAlign w:val="baseline"/>
          <w:lang w:val="en-US" w:eastAsia="zh-CN" w:bidi="ar-SA"/>
        </w:rPr>
      </w:pPr>
      <w:r>
        <w:rPr>
          <w:rFonts w:hint="eastAsia" w:ascii="楷体_GB2312" w:hAnsi="楷体_GB2312" w:eastAsia="楷体_GB2312" w:cs="楷体_GB2312"/>
          <w:color w:val="auto"/>
          <w:kern w:val="2"/>
          <w:sz w:val="21"/>
          <w:szCs w:val="24"/>
          <w:shd w:val="clear" w:color="auto" w:fill="FFFFFF"/>
          <w:vertAlign w:val="baseline"/>
          <w:lang w:val="en-US" w:eastAsia="zh-CN" w:bidi="ar-SA"/>
        </w:rPr>
        <w:t>学生参与技能大赛获奖</w:t>
      </w:r>
    </w:p>
    <w:p w14:paraId="0D5A0FDF">
      <w:pPr>
        <w:pStyle w:val="7"/>
        <w:widowControl/>
        <w:numPr>
          <w:ilvl w:val="0"/>
          <w:numId w:val="0"/>
        </w:numPr>
        <w:spacing w:beforeAutospacing="0" w:afterAutospacing="0" w:line="360" w:lineRule="auto"/>
        <w:ind w:firstLine="480" w:firstLineChars="200"/>
        <w:jc w:val="both"/>
        <w:rPr>
          <w:rFonts w:hint="eastAsia" w:ascii="楷体_GB2312" w:hAnsi="楷体_GB2312" w:eastAsia="楷体_GB2312" w:cs="楷体_GB2312"/>
          <w:color w:val="auto"/>
          <w:shd w:val="clear" w:color="auto" w:fill="FFFFFF"/>
          <w:lang w:eastAsia="zh-CN"/>
        </w:rPr>
      </w:pPr>
      <w:r>
        <w:rPr>
          <w:rFonts w:hint="eastAsia" w:ascii="楷体_GB2312" w:hAnsi="楷体_GB2312" w:eastAsia="楷体_GB2312" w:cs="楷体_GB2312"/>
          <w:color w:val="auto"/>
          <w:shd w:val="clear" w:color="auto" w:fill="FFFFFF"/>
          <w:lang w:val="en-US" w:eastAsia="zh-CN"/>
        </w:rPr>
        <w:t>3.</w:t>
      </w:r>
      <w:r>
        <w:rPr>
          <w:rFonts w:hint="eastAsia" w:ascii="楷体_GB2312" w:hAnsi="楷体_GB2312" w:eastAsia="楷体_GB2312" w:cs="楷体_GB2312"/>
          <w:color w:val="auto"/>
          <w:shd w:val="clear" w:color="auto" w:fill="FFFFFF"/>
          <w:lang w:eastAsia="zh-CN"/>
        </w:rPr>
        <w:t>学历提升情况</w:t>
      </w:r>
    </w:p>
    <w:p w14:paraId="0ED28961">
      <w:pPr>
        <w:widowControl/>
        <w:spacing w:line="360" w:lineRule="auto"/>
        <w:ind w:firstLine="480" w:firstLineChars="200"/>
        <w:jc w:val="left"/>
        <w:rPr>
          <w:rFonts w:hint="eastAsia" w:ascii="楷体_GB2312" w:hAnsi="楷体_GB2312" w:eastAsia="楷体_GB2312" w:cs="楷体_GB2312"/>
          <w:b w:val="0"/>
          <w:bCs w:val="0"/>
          <w:color w:val="auto"/>
          <w:kern w:val="0"/>
          <w:sz w:val="24"/>
          <w:szCs w:val="24"/>
          <w:shd w:val="clear" w:color="auto" w:fill="FFFFFF"/>
          <w:lang w:val="en-US" w:eastAsia="zh-CN" w:bidi="ar-SA"/>
        </w:rPr>
      </w:pPr>
      <w:r>
        <w:rPr>
          <w:rFonts w:hint="eastAsia" w:ascii="楷体_GB2312" w:hAnsi="楷体_GB2312" w:eastAsia="楷体_GB2312" w:cs="楷体_GB2312"/>
          <w:b w:val="0"/>
          <w:bCs w:val="0"/>
          <w:color w:val="auto"/>
          <w:kern w:val="0"/>
          <w:sz w:val="24"/>
          <w:szCs w:val="24"/>
          <w:shd w:val="clear" w:color="auto" w:fill="FFFFFF"/>
          <w:lang w:val="en-US" w:eastAsia="zh-CN" w:bidi="ar-SA"/>
        </w:rPr>
        <w:t>学生毕业当年，可根据当年度国家教育部和山东省教育厅发布的专升本通知，报考中药学等相关专业，参加全省统一的专升本考试。专升本毕业的学生，第一学历为本科学历。</w:t>
      </w:r>
      <w:r>
        <w:rPr>
          <w:rFonts w:hint="eastAsia" w:ascii="楷体_GB2312" w:hAnsi="楷体_GB2312" w:eastAsia="楷体_GB2312" w:cs="楷体_GB2312"/>
          <w:color w:val="auto"/>
          <w:kern w:val="0"/>
          <w:sz w:val="24"/>
          <w:szCs w:val="24"/>
          <w:shd w:val="clear" w:color="auto" w:fill="FFFFFF"/>
          <w:lang w:val="en-US" w:eastAsia="zh-CN" w:bidi="ar-SA"/>
        </w:rPr>
        <w:t>我院2024年药学专业群有80名同学顺利考入临沂大学、齐鲁医药学院等本科院校继续深造，升学人数占药学专业群毕业生总人数的21.3 %</w:t>
      </w:r>
      <w:r>
        <w:rPr>
          <w:rFonts w:hint="eastAsia" w:ascii="楷体_GB2312" w:hAnsi="楷体_GB2312" w:eastAsia="楷体_GB2312" w:cs="楷体_GB2312"/>
          <w:b w:val="0"/>
          <w:bCs w:val="0"/>
          <w:color w:val="auto"/>
          <w:kern w:val="0"/>
          <w:sz w:val="24"/>
          <w:szCs w:val="24"/>
          <w:shd w:val="clear" w:color="auto" w:fill="FFFFFF"/>
          <w:lang w:val="en-US" w:eastAsia="zh-CN" w:bidi="ar-SA"/>
        </w:rPr>
        <w:t>。</w:t>
      </w:r>
    </w:p>
    <w:p w14:paraId="64A49A25">
      <w:pPr>
        <w:widowControl/>
        <w:spacing w:line="360" w:lineRule="auto"/>
        <w:jc w:val="left"/>
        <w:rPr>
          <w:rStyle w:val="11"/>
          <w:rFonts w:hint="eastAsia" w:ascii="楷体_GB2312" w:hAnsi="楷体_GB2312" w:eastAsia="楷体_GB2312" w:cs="楷体_GB2312"/>
          <w:bCs/>
          <w:color w:val="auto"/>
          <w:spacing w:val="8"/>
          <w:kern w:val="0"/>
          <w:sz w:val="24"/>
          <w:szCs w:val="24"/>
          <w:shd w:val="clear" w:color="auto" w:fill="FFFFFF"/>
          <w:lang w:bidi="ar"/>
        </w:rPr>
      </w:pPr>
      <w:r>
        <w:rPr>
          <w:rStyle w:val="11"/>
          <w:rFonts w:hint="eastAsia" w:ascii="楷体_GB2312" w:hAnsi="楷体_GB2312" w:eastAsia="楷体_GB2312" w:cs="楷体_GB2312"/>
          <w:bCs/>
          <w:color w:val="auto"/>
          <w:spacing w:val="8"/>
          <w:kern w:val="0"/>
          <w:sz w:val="24"/>
          <w:szCs w:val="24"/>
          <w:shd w:val="clear" w:color="auto" w:fill="FFFFFF"/>
          <w:lang w:eastAsia="zh-CN" w:bidi="ar"/>
        </w:rPr>
        <w:t>七、</w:t>
      </w:r>
      <w:r>
        <w:rPr>
          <w:rStyle w:val="11"/>
          <w:rFonts w:hint="eastAsia" w:ascii="楷体_GB2312" w:hAnsi="楷体_GB2312" w:eastAsia="楷体_GB2312" w:cs="楷体_GB2312"/>
          <w:bCs/>
          <w:color w:val="auto"/>
          <w:spacing w:val="8"/>
          <w:kern w:val="0"/>
          <w:sz w:val="24"/>
          <w:szCs w:val="24"/>
          <w:shd w:val="clear" w:color="auto" w:fill="FFFFFF"/>
          <w:lang w:bidi="ar"/>
        </w:rPr>
        <w:t>实习与就业</w:t>
      </w:r>
    </w:p>
    <w:p w14:paraId="20BDE9FF">
      <w:pPr>
        <w:pStyle w:val="7"/>
        <w:widowControl/>
        <w:spacing w:beforeAutospacing="0" w:afterAutospacing="0" w:line="360" w:lineRule="auto"/>
        <w:ind w:firstLine="480" w:firstLineChars="200"/>
        <w:rPr>
          <w:rFonts w:hint="eastAsia" w:ascii="楷体_GB2312" w:hAnsi="楷体_GB2312" w:eastAsia="楷体_GB2312" w:cs="楷体_GB2312"/>
          <w:b w:val="0"/>
          <w:bCs w:val="0"/>
          <w:color w:val="auto"/>
          <w:kern w:val="0"/>
          <w:sz w:val="24"/>
          <w:szCs w:val="24"/>
          <w:shd w:val="clear" w:color="auto" w:fill="FFFFFF"/>
          <w:lang w:val="en-US" w:eastAsia="zh-CN" w:bidi="ar-SA"/>
        </w:rPr>
      </w:pPr>
      <w:r>
        <w:rPr>
          <w:rFonts w:hint="eastAsia" w:ascii="楷体_GB2312" w:hAnsi="楷体_GB2312" w:eastAsia="楷体_GB2312" w:cs="楷体_GB2312"/>
          <w:b w:val="0"/>
          <w:bCs w:val="0"/>
          <w:color w:val="auto"/>
          <w:kern w:val="0"/>
          <w:sz w:val="24"/>
          <w:szCs w:val="24"/>
          <w:shd w:val="clear" w:color="auto" w:fill="FFFFFF"/>
          <w:lang w:val="en-US" w:eastAsia="zh-CN" w:bidi="ar-SA"/>
        </w:rPr>
        <w:t>1.校外实习基地</w:t>
      </w:r>
    </w:p>
    <w:p w14:paraId="091C4FB8">
      <w:pPr>
        <w:pStyle w:val="7"/>
        <w:widowControl/>
        <w:spacing w:beforeAutospacing="0" w:afterAutospacing="0" w:line="360" w:lineRule="auto"/>
        <w:ind w:firstLine="480" w:firstLineChars="200"/>
        <w:jc w:val="both"/>
        <w:rPr>
          <w:rFonts w:hint="eastAsia" w:ascii="楷体_GB2312" w:hAnsi="楷体_GB2312" w:eastAsia="楷体_GB2312" w:cs="楷体_GB2312"/>
          <w:b w:val="0"/>
          <w:bCs w:val="0"/>
          <w:color w:val="auto"/>
          <w:kern w:val="0"/>
          <w:sz w:val="24"/>
          <w:szCs w:val="24"/>
          <w:shd w:val="clear" w:color="auto" w:fill="FFFFFF"/>
          <w:lang w:val="en-US" w:eastAsia="zh-CN" w:bidi="ar-SA"/>
        </w:rPr>
      </w:pPr>
      <w:r>
        <w:rPr>
          <w:rFonts w:hint="eastAsia" w:ascii="楷体_GB2312" w:hAnsi="楷体_GB2312" w:eastAsia="楷体_GB2312" w:cs="楷体_GB2312"/>
          <w:b w:val="0"/>
          <w:bCs w:val="0"/>
          <w:color w:val="auto"/>
          <w:kern w:val="0"/>
          <w:sz w:val="24"/>
          <w:szCs w:val="24"/>
          <w:shd w:val="clear" w:color="auto" w:fill="FFFFFF"/>
          <w:lang w:val="en-US" w:eastAsia="zh-CN" w:bidi="ar-SA"/>
        </w:rPr>
        <w:t>学院地处省会济南，实习条件优越，校外实习基地包括山东省立医院、山东中医药大学附属医院、山东中医药大学第二附属医院、山东百味堂中药饮片有限公司、</w:t>
      </w:r>
      <w:r>
        <w:rPr>
          <w:rFonts w:hint="eastAsia" w:ascii="楷体_GB2312" w:hAnsi="楷体_GB2312" w:eastAsia="楷体_GB2312" w:cs="楷体_GB2312"/>
          <w:color w:val="auto"/>
          <w:shd w:val="clear" w:color="auto" w:fill="FFFFFF"/>
        </w:rPr>
        <w:t>漱玉平民大药房连锁股份有限公司</w:t>
      </w:r>
      <w:r>
        <w:rPr>
          <w:rFonts w:hint="eastAsia" w:ascii="楷体_GB2312" w:hAnsi="楷体_GB2312" w:eastAsia="楷体_GB2312" w:cs="楷体_GB2312"/>
          <w:b w:val="0"/>
          <w:bCs w:val="0"/>
          <w:color w:val="auto"/>
          <w:kern w:val="0"/>
          <w:sz w:val="24"/>
          <w:szCs w:val="24"/>
          <w:shd w:val="clear" w:color="auto" w:fill="FFFFFF"/>
          <w:lang w:val="en-US" w:eastAsia="zh-CN" w:bidi="ar-SA"/>
        </w:rPr>
        <w:t>、济南平嘉大药房有限公司等30余家大型医疗机构及药企单位，有效地保障了毕业实习质量。</w:t>
      </w:r>
    </w:p>
    <w:tbl>
      <w:tblPr>
        <w:tblStyle w:val="9"/>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632"/>
        <w:gridCol w:w="4656"/>
      </w:tblGrid>
      <w:tr w14:paraId="540CE0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632" w:type="dxa"/>
          </w:tcPr>
          <w:p w14:paraId="7A212763">
            <w:pPr>
              <w:pStyle w:val="7"/>
              <w:widowControl/>
              <w:spacing w:beforeAutospacing="0" w:afterAutospacing="0" w:line="360" w:lineRule="auto"/>
              <w:jc w:val="both"/>
              <w:rPr>
                <w:rFonts w:hint="eastAsia" w:ascii="楷体_GB2312" w:hAnsi="楷体_GB2312" w:eastAsia="楷体_GB2312" w:cs="楷体_GB2312"/>
                <w:b w:val="0"/>
                <w:bCs w:val="0"/>
                <w:color w:val="auto"/>
                <w:kern w:val="0"/>
                <w:sz w:val="24"/>
                <w:szCs w:val="24"/>
                <w:shd w:val="clear" w:color="auto" w:fill="FFFFFF"/>
                <w:vertAlign w:val="baseline"/>
                <w:lang w:val="en-US" w:eastAsia="zh-CN" w:bidi="ar-SA"/>
              </w:rPr>
            </w:pPr>
            <w:r>
              <w:rPr>
                <w:rFonts w:hint="eastAsia" w:ascii="楷体_GB2312" w:hAnsi="楷体_GB2312" w:eastAsia="楷体_GB2312" w:cs="楷体_GB2312"/>
                <w:b w:val="0"/>
                <w:bCs w:val="0"/>
                <w:color w:val="auto"/>
                <w:kern w:val="0"/>
                <w:sz w:val="24"/>
                <w:szCs w:val="24"/>
                <w:shd w:val="clear" w:color="auto" w:fill="FFFFFF"/>
                <w:vertAlign w:val="baseline"/>
                <w:lang w:val="en-US" w:eastAsia="zh-CN" w:bidi="ar-SA"/>
              </w:rPr>
              <w:drawing>
                <wp:inline distT="0" distB="0" distL="114300" distR="114300">
                  <wp:extent cx="2788285" cy="2090420"/>
                  <wp:effectExtent l="0" t="0" r="12065" b="5080"/>
                  <wp:docPr id="13" name="图片 13" descr="31105ba85ceeaaa4c6f2f2bf12ca2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31105ba85ceeaaa4c6f2f2bf12ca2aa"/>
                          <pic:cNvPicPr>
                            <a:picLocks noChangeAspect="1"/>
                          </pic:cNvPicPr>
                        </pic:nvPicPr>
                        <pic:blipFill>
                          <a:blip r:embed="rId15"/>
                          <a:stretch>
                            <a:fillRect/>
                          </a:stretch>
                        </pic:blipFill>
                        <pic:spPr>
                          <a:xfrm>
                            <a:off x="0" y="0"/>
                            <a:ext cx="2788285" cy="2090420"/>
                          </a:xfrm>
                          <a:prstGeom prst="rect">
                            <a:avLst/>
                          </a:prstGeom>
                        </pic:spPr>
                      </pic:pic>
                    </a:graphicData>
                  </a:graphic>
                </wp:inline>
              </w:drawing>
            </w:r>
          </w:p>
        </w:tc>
        <w:tc>
          <w:tcPr>
            <w:tcW w:w="4656" w:type="dxa"/>
          </w:tcPr>
          <w:p w14:paraId="1B92501D">
            <w:pPr>
              <w:pStyle w:val="7"/>
              <w:widowControl/>
              <w:spacing w:beforeAutospacing="0" w:afterAutospacing="0" w:line="360" w:lineRule="auto"/>
              <w:jc w:val="both"/>
              <w:rPr>
                <w:rFonts w:hint="eastAsia" w:ascii="楷体_GB2312" w:hAnsi="楷体_GB2312" w:eastAsia="楷体_GB2312" w:cs="楷体_GB2312"/>
                <w:b w:val="0"/>
                <w:bCs w:val="0"/>
                <w:color w:val="auto"/>
                <w:kern w:val="0"/>
                <w:sz w:val="24"/>
                <w:szCs w:val="24"/>
                <w:shd w:val="clear" w:color="auto" w:fill="FFFFFF"/>
                <w:vertAlign w:val="baseline"/>
                <w:lang w:val="en-US" w:eastAsia="zh-CN" w:bidi="ar-SA"/>
              </w:rPr>
            </w:pPr>
            <w:r>
              <w:rPr>
                <w:rFonts w:hint="eastAsia" w:ascii="楷体_GB2312" w:hAnsi="楷体_GB2312" w:eastAsia="楷体_GB2312" w:cs="楷体_GB2312"/>
                <w:b w:val="0"/>
                <w:bCs w:val="0"/>
                <w:color w:val="auto"/>
                <w:kern w:val="0"/>
                <w:sz w:val="24"/>
                <w:szCs w:val="24"/>
                <w:shd w:val="clear" w:color="auto" w:fill="FFFFFF"/>
                <w:vertAlign w:val="baseline"/>
                <w:lang w:val="en-US" w:eastAsia="zh-CN" w:bidi="ar-SA"/>
              </w:rPr>
              <w:drawing>
                <wp:inline distT="0" distB="0" distL="114300" distR="114300">
                  <wp:extent cx="2804795" cy="2102485"/>
                  <wp:effectExtent l="0" t="0" r="14605" b="12065"/>
                  <wp:docPr id="12" name="图片 12" descr="6212cecb40e4a23216fdee7f01f00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6212cecb40e4a23216fdee7f01f00d6"/>
                          <pic:cNvPicPr>
                            <a:picLocks noChangeAspect="1"/>
                          </pic:cNvPicPr>
                        </pic:nvPicPr>
                        <pic:blipFill>
                          <a:blip r:embed="rId16"/>
                          <a:stretch>
                            <a:fillRect/>
                          </a:stretch>
                        </pic:blipFill>
                        <pic:spPr>
                          <a:xfrm>
                            <a:off x="0" y="0"/>
                            <a:ext cx="2804795" cy="2102485"/>
                          </a:xfrm>
                          <a:prstGeom prst="rect">
                            <a:avLst/>
                          </a:prstGeom>
                        </pic:spPr>
                      </pic:pic>
                    </a:graphicData>
                  </a:graphic>
                </wp:inline>
              </w:drawing>
            </w:r>
          </w:p>
        </w:tc>
      </w:tr>
      <w:tr w14:paraId="399DC0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8" w:hRule="atLeast"/>
        </w:trPr>
        <w:tc>
          <w:tcPr>
            <w:tcW w:w="9288" w:type="dxa"/>
            <w:gridSpan w:val="2"/>
          </w:tcPr>
          <w:p w14:paraId="7F24A666">
            <w:pPr>
              <w:widowControl/>
              <w:spacing w:line="360" w:lineRule="auto"/>
              <w:jc w:val="center"/>
              <w:rPr>
                <w:rFonts w:hint="eastAsia" w:ascii="楷体_GB2312" w:hAnsi="楷体_GB2312" w:eastAsia="楷体_GB2312" w:cs="楷体_GB2312"/>
                <w:b w:val="0"/>
                <w:bCs w:val="0"/>
                <w:color w:val="auto"/>
                <w:kern w:val="0"/>
                <w:sz w:val="24"/>
                <w:szCs w:val="24"/>
                <w:shd w:val="clear" w:color="auto" w:fill="FFFFFF"/>
                <w:vertAlign w:val="baseline"/>
                <w:lang w:val="en-US" w:eastAsia="zh-CN" w:bidi="ar-SA"/>
              </w:rPr>
            </w:pPr>
            <w:r>
              <w:rPr>
                <w:rFonts w:hint="eastAsia" w:ascii="楷体_GB2312" w:hAnsi="楷体_GB2312" w:eastAsia="楷体_GB2312" w:cs="楷体_GB2312"/>
                <w:color w:val="auto"/>
                <w:kern w:val="2"/>
                <w:sz w:val="21"/>
                <w:szCs w:val="24"/>
                <w:shd w:val="clear" w:color="auto" w:fill="FFFFFF"/>
                <w:vertAlign w:val="baseline"/>
                <w:lang w:val="en-US" w:eastAsia="zh-CN" w:bidi="ar-SA"/>
              </w:rPr>
              <w:t>实习就业基地-山东百味堂中药饮片有限公司</w:t>
            </w:r>
          </w:p>
        </w:tc>
      </w:tr>
    </w:tbl>
    <w:p w14:paraId="352B7BD0">
      <w:pPr>
        <w:pStyle w:val="7"/>
        <w:widowControl/>
        <w:numPr>
          <w:ilvl w:val="0"/>
          <w:numId w:val="0"/>
        </w:numPr>
        <w:spacing w:beforeAutospacing="0" w:afterAutospacing="0" w:line="360" w:lineRule="auto"/>
        <w:ind w:firstLine="480" w:firstLineChars="200"/>
        <w:rPr>
          <w:rFonts w:hint="eastAsia" w:ascii="楷体_GB2312" w:hAnsi="楷体_GB2312" w:eastAsia="楷体_GB2312" w:cs="楷体_GB2312"/>
          <w:color w:val="auto"/>
          <w:shd w:val="clear" w:color="auto" w:fill="FFFFFF"/>
        </w:rPr>
      </w:pPr>
      <w:r>
        <w:rPr>
          <w:rFonts w:hint="eastAsia" w:ascii="楷体_GB2312" w:hAnsi="楷体_GB2312" w:eastAsia="楷体_GB2312" w:cs="楷体_GB2312"/>
          <w:color w:val="auto"/>
          <w:shd w:val="clear" w:color="auto" w:fill="FFFFFF"/>
          <w:lang w:val="en-US" w:eastAsia="zh-CN"/>
        </w:rPr>
        <w:t>2.</w:t>
      </w:r>
      <w:r>
        <w:rPr>
          <w:rFonts w:hint="eastAsia" w:ascii="楷体_GB2312" w:hAnsi="楷体_GB2312" w:eastAsia="楷体_GB2312" w:cs="楷体_GB2312"/>
          <w:color w:val="auto"/>
          <w:shd w:val="clear" w:color="auto" w:fill="FFFFFF"/>
        </w:rPr>
        <w:t>就业</w:t>
      </w:r>
      <w:r>
        <w:rPr>
          <w:rFonts w:hint="eastAsia" w:ascii="楷体_GB2312" w:hAnsi="楷体_GB2312" w:eastAsia="楷体_GB2312" w:cs="楷体_GB2312"/>
          <w:color w:val="auto"/>
          <w:shd w:val="clear" w:color="auto" w:fill="FFFFFF"/>
          <w:lang w:val="en-US" w:eastAsia="zh-CN"/>
        </w:rPr>
        <w:t>方</w:t>
      </w:r>
      <w:r>
        <w:rPr>
          <w:rFonts w:hint="eastAsia" w:ascii="楷体_GB2312" w:hAnsi="楷体_GB2312" w:eastAsia="楷体_GB2312" w:cs="楷体_GB2312"/>
          <w:color w:val="auto"/>
          <w:shd w:val="clear" w:color="auto" w:fill="FFFFFF"/>
        </w:rPr>
        <w:t>向</w:t>
      </w:r>
    </w:p>
    <w:p w14:paraId="5682660D">
      <w:pPr>
        <w:widowControl/>
        <w:spacing w:line="360" w:lineRule="auto"/>
        <w:ind w:firstLine="480" w:firstLineChars="200"/>
        <w:jc w:val="left"/>
        <w:rPr>
          <w:rFonts w:hint="eastAsia" w:ascii="楷体_GB2312" w:hAnsi="楷体_GB2312" w:eastAsia="楷体_GB2312" w:cs="楷体_GB2312"/>
          <w:color w:val="auto"/>
          <w:kern w:val="0"/>
          <w:sz w:val="24"/>
          <w:szCs w:val="24"/>
          <w:shd w:val="clear" w:color="auto" w:fill="FFFFFF"/>
          <w:lang w:val="en-US" w:eastAsia="zh-CN" w:bidi="ar-SA"/>
        </w:rPr>
      </w:pPr>
      <w:r>
        <w:rPr>
          <w:rFonts w:hint="eastAsia" w:ascii="楷体_GB2312" w:hAnsi="楷体_GB2312" w:eastAsia="楷体_GB2312" w:cs="楷体_GB2312"/>
          <w:color w:val="auto"/>
          <w:kern w:val="0"/>
          <w:sz w:val="24"/>
          <w:szCs w:val="24"/>
          <w:shd w:val="clear" w:color="auto" w:fill="FFFFFF"/>
          <w:lang w:val="en-US" w:eastAsia="zh-CN" w:bidi="ar-SA"/>
        </w:rPr>
        <w:t xml:space="preserve">主要面向中药行业的生产、流通、检验、使用领域，从事中药栽培、鉴定、炮制、调剂、制剂、经营、管理及临床合理用药等工作。 </w:t>
      </w:r>
    </w:p>
    <w:p w14:paraId="0F81937E">
      <w:pPr>
        <w:pStyle w:val="7"/>
        <w:widowControl/>
        <w:spacing w:beforeAutospacing="0" w:afterAutospacing="0" w:line="360" w:lineRule="auto"/>
        <w:ind w:firstLine="480" w:firstLineChars="200"/>
        <w:jc w:val="both"/>
        <w:rPr>
          <w:rFonts w:hint="eastAsia" w:ascii="楷体_GB2312" w:hAnsi="楷体_GB2312" w:eastAsia="楷体_GB2312" w:cs="楷体_GB2312"/>
          <w:color w:val="auto"/>
          <w:shd w:val="clear" w:color="auto" w:fill="FFFFFF"/>
        </w:rPr>
      </w:pPr>
      <w:r>
        <w:rPr>
          <w:rFonts w:hint="eastAsia" w:ascii="楷体_GB2312" w:hAnsi="楷体_GB2312" w:eastAsia="楷体_GB2312" w:cs="楷体_GB2312"/>
          <w:color w:val="auto"/>
          <w:shd w:val="clear" w:color="auto" w:fill="FFFFFF"/>
          <w:lang w:val="en-US" w:eastAsia="zh-CN"/>
        </w:rPr>
        <w:t>3.</w:t>
      </w:r>
      <w:r>
        <w:rPr>
          <w:rFonts w:hint="eastAsia" w:ascii="楷体_GB2312" w:hAnsi="楷体_GB2312" w:eastAsia="楷体_GB2312" w:cs="楷体_GB2312"/>
          <w:color w:val="auto"/>
          <w:shd w:val="clear" w:color="auto" w:fill="FFFFFF"/>
        </w:rPr>
        <w:t>学生就业情况</w:t>
      </w:r>
    </w:p>
    <w:p w14:paraId="2325293F">
      <w:pPr>
        <w:pStyle w:val="7"/>
        <w:widowControl/>
        <w:spacing w:beforeAutospacing="0" w:afterAutospacing="0" w:line="360" w:lineRule="auto"/>
        <w:ind w:firstLine="480" w:firstLineChars="200"/>
        <w:jc w:val="both"/>
        <w:rPr>
          <w:rFonts w:hint="eastAsia" w:ascii="楷体_GB2312" w:hAnsi="楷体_GB2312" w:eastAsia="楷体_GB2312" w:cs="楷体_GB2312"/>
          <w:color w:val="auto"/>
          <w:shd w:val="clear" w:color="auto" w:fill="FFFFFF"/>
        </w:rPr>
      </w:pPr>
      <w:r>
        <w:rPr>
          <w:rFonts w:hint="eastAsia" w:ascii="楷体_GB2312" w:hAnsi="楷体_GB2312" w:eastAsia="楷体_GB2312" w:cs="楷体_GB2312"/>
          <w:color w:val="auto"/>
          <w:shd w:val="clear" w:color="auto" w:fill="FFFFFF"/>
          <w:lang w:eastAsia="zh-CN"/>
        </w:rPr>
        <w:t>中</w:t>
      </w:r>
      <w:r>
        <w:rPr>
          <w:rFonts w:hint="eastAsia" w:ascii="楷体_GB2312" w:hAnsi="楷体_GB2312" w:eastAsia="楷体_GB2312" w:cs="楷体_GB2312"/>
          <w:color w:val="auto"/>
          <w:shd w:val="clear" w:color="auto" w:fill="FFFFFF"/>
        </w:rPr>
        <w:t>药</w:t>
      </w:r>
      <w:r>
        <w:rPr>
          <w:rFonts w:hint="eastAsia" w:ascii="楷体_GB2312" w:hAnsi="楷体_GB2312" w:eastAsia="楷体_GB2312" w:cs="楷体_GB2312"/>
          <w:color w:val="auto"/>
          <w:shd w:val="clear" w:color="auto" w:fill="FFFFFF"/>
          <w:lang w:eastAsia="zh-CN"/>
        </w:rPr>
        <w:t>学</w:t>
      </w:r>
      <w:r>
        <w:rPr>
          <w:rFonts w:hint="eastAsia" w:ascii="楷体_GB2312" w:hAnsi="楷体_GB2312" w:eastAsia="楷体_GB2312" w:cs="楷体_GB2312"/>
          <w:color w:val="auto"/>
          <w:shd w:val="clear" w:color="auto" w:fill="FFFFFF"/>
        </w:rPr>
        <w:t>专业每年向</w:t>
      </w:r>
      <w:r>
        <w:rPr>
          <w:rFonts w:hint="eastAsia" w:ascii="楷体_GB2312" w:hAnsi="楷体_GB2312" w:eastAsia="楷体_GB2312" w:cs="楷体_GB2312"/>
          <w:color w:val="auto"/>
          <w:shd w:val="clear" w:color="auto" w:fill="FFFFFF"/>
          <w:lang w:eastAsia="zh-CN"/>
        </w:rPr>
        <w:t>医疗机构以及药品生产经营企业</w:t>
      </w:r>
      <w:r>
        <w:rPr>
          <w:rFonts w:hint="eastAsia" w:ascii="楷体_GB2312" w:hAnsi="楷体_GB2312" w:eastAsia="楷体_GB2312" w:cs="楷体_GB2312"/>
          <w:color w:val="auto"/>
          <w:shd w:val="clear" w:color="auto" w:fill="FFFFFF"/>
        </w:rPr>
        <w:t>等相关单位输送大批优秀毕业生，</w:t>
      </w:r>
      <w:r>
        <w:rPr>
          <w:rFonts w:hint="eastAsia" w:ascii="楷体_GB2312" w:hAnsi="楷体_GB2312" w:eastAsia="楷体_GB2312" w:cs="楷体_GB2312"/>
          <w:color w:val="auto"/>
          <w:shd w:val="clear" w:color="auto" w:fill="FFFFFF"/>
          <w:lang w:eastAsia="zh-CN"/>
        </w:rPr>
        <w:t>学生们</w:t>
      </w:r>
      <w:r>
        <w:rPr>
          <w:rFonts w:hint="eastAsia" w:ascii="楷体_GB2312" w:hAnsi="楷体_GB2312" w:eastAsia="楷体_GB2312" w:cs="楷体_GB2312"/>
          <w:color w:val="auto"/>
          <w:shd w:val="clear" w:color="auto" w:fill="FFFFFF"/>
        </w:rPr>
        <w:t>以扎实的基本功和优秀的品质</w:t>
      </w:r>
      <w:r>
        <w:rPr>
          <w:rFonts w:hint="eastAsia" w:ascii="楷体_GB2312" w:hAnsi="楷体_GB2312" w:eastAsia="楷体_GB2312" w:cs="楷体_GB2312"/>
          <w:color w:val="auto"/>
          <w:shd w:val="clear" w:color="auto" w:fill="FFFFFF"/>
          <w:lang w:eastAsia="zh-CN"/>
        </w:rPr>
        <w:t>赢得</w:t>
      </w:r>
      <w:r>
        <w:rPr>
          <w:rFonts w:hint="eastAsia" w:ascii="楷体_GB2312" w:hAnsi="楷体_GB2312" w:eastAsia="楷体_GB2312" w:cs="楷体_GB2312"/>
          <w:color w:val="auto"/>
          <w:shd w:val="clear" w:color="auto" w:fill="FFFFFF"/>
        </w:rPr>
        <w:t>用人单位的认可。</w:t>
      </w:r>
    </w:p>
    <w:p w14:paraId="0BF068A1">
      <w:pPr>
        <w:pStyle w:val="7"/>
        <w:widowControl/>
        <w:spacing w:beforeAutospacing="0" w:afterAutospacing="0" w:line="360" w:lineRule="auto"/>
        <w:ind w:firstLine="480" w:firstLineChars="200"/>
        <w:jc w:val="both"/>
        <w:rPr>
          <w:rFonts w:hint="eastAsia" w:ascii="楷体_GB2312" w:hAnsi="楷体_GB2312" w:eastAsia="楷体_GB2312" w:cs="楷体_GB2312"/>
          <w:color w:val="auto"/>
          <w:shd w:val="clear" w:color="auto" w:fill="FFFFFF"/>
        </w:rPr>
      </w:pPr>
      <w:r>
        <w:rPr>
          <w:rFonts w:hint="eastAsia" w:ascii="楷体_GB2312" w:hAnsi="楷体_GB2312" w:eastAsia="楷体_GB2312" w:cs="楷体_GB2312"/>
          <w:color w:val="auto"/>
          <w:shd w:val="clear" w:color="auto" w:fill="FFFFFF"/>
        </w:rPr>
        <w:t>学院建有完善的就业保障体系，在积极推动“实习与就业高度融合”的基础上，积极拓展就业新途径、新渠道，确保毕业生</w:t>
      </w:r>
      <w:r>
        <w:rPr>
          <w:rFonts w:hint="eastAsia" w:ascii="楷体_GB2312" w:hAnsi="楷体_GB2312" w:eastAsia="楷体_GB2312" w:cs="楷体_GB2312"/>
          <w:color w:val="auto"/>
          <w:shd w:val="clear" w:color="auto" w:fill="FFFFFF"/>
          <w:lang w:eastAsia="zh-CN"/>
        </w:rPr>
        <w:t>较高的</w:t>
      </w:r>
      <w:r>
        <w:rPr>
          <w:rFonts w:hint="eastAsia" w:ascii="楷体_GB2312" w:hAnsi="楷体_GB2312" w:eastAsia="楷体_GB2312" w:cs="楷体_GB2312"/>
          <w:color w:val="auto"/>
          <w:shd w:val="clear" w:color="auto" w:fill="FFFFFF"/>
        </w:rPr>
        <w:t>就业率。</w:t>
      </w:r>
    </w:p>
    <w:p w14:paraId="3B7B54A1">
      <w:pPr>
        <w:pStyle w:val="7"/>
        <w:widowControl/>
        <w:spacing w:beforeAutospacing="0" w:afterAutospacing="0" w:line="360" w:lineRule="auto"/>
        <w:ind w:firstLine="480" w:firstLineChars="200"/>
        <w:rPr>
          <w:rFonts w:hint="eastAsia" w:ascii="楷体_GB2312" w:hAnsi="楷体_GB2312" w:eastAsia="楷体_GB2312" w:cs="楷体_GB2312"/>
          <w:color w:val="auto"/>
          <w:shd w:val="clear" w:color="auto" w:fill="FFFFFF"/>
        </w:rPr>
      </w:pPr>
      <w:r>
        <w:rPr>
          <w:rFonts w:hint="eastAsia" w:ascii="楷体_GB2312" w:hAnsi="楷体_GB2312" w:eastAsia="楷体_GB2312" w:cs="楷体_GB2312"/>
          <w:color w:val="auto"/>
          <w:shd w:val="clear" w:color="auto" w:fill="FFFFFF"/>
        </w:rPr>
        <w:t>随着医药工业现代化水平的不断提高</w:t>
      </w:r>
      <w:r>
        <w:rPr>
          <w:rFonts w:hint="eastAsia" w:ascii="楷体_GB2312" w:hAnsi="楷体_GB2312" w:eastAsia="楷体_GB2312" w:cs="楷体_GB2312"/>
          <w:color w:val="auto"/>
          <w:shd w:val="clear" w:color="auto" w:fill="FFFFFF"/>
          <w:lang w:eastAsia="zh-CN"/>
        </w:rPr>
        <w:t>，</w:t>
      </w:r>
      <w:r>
        <w:rPr>
          <w:rFonts w:hint="eastAsia" w:ascii="楷体_GB2312" w:hAnsi="楷体_GB2312" w:eastAsia="楷体_GB2312" w:cs="楷体_GB2312"/>
          <w:color w:val="auto"/>
          <w:shd w:val="clear" w:color="auto" w:fill="FFFFFF"/>
        </w:rPr>
        <w:t>中药行业现代化、标准化的逐步实施</w:t>
      </w:r>
      <w:r>
        <w:rPr>
          <w:rFonts w:hint="eastAsia" w:ascii="楷体_GB2312" w:hAnsi="楷体_GB2312" w:eastAsia="楷体_GB2312" w:cs="楷体_GB2312"/>
          <w:color w:val="auto"/>
          <w:shd w:val="clear" w:color="auto" w:fill="FFFFFF"/>
          <w:lang w:eastAsia="zh-CN"/>
        </w:rPr>
        <w:t>，以及</w:t>
      </w:r>
      <w:r>
        <w:rPr>
          <w:rFonts w:hint="eastAsia" w:ascii="楷体_GB2312" w:hAnsi="楷体_GB2312" w:eastAsia="楷体_GB2312" w:cs="楷体_GB2312"/>
          <w:color w:val="auto"/>
          <w:shd w:val="clear" w:color="auto" w:fill="FFFFFF"/>
        </w:rPr>
        <w:t>全社会</w:t>
      </w:r>
      <w:r>
        <w:rPr>
          <w:rFonts w:hint="eastAsia" w:ascii="楷体_GB2312" w:hAnsi="楷体_GB2312" w:eastAsia="楷体_GB2312" w:cs="楷体_GB2312"/>
          <w:color w:val="auto"/>
          <w:shd w:val="clear" w:color="auto" w:fill="FFFFFF"/>
          <w:lang w:eastAsia="zh-CN"/>
        </w:rPr>
        <w:t>对</w:t>
      </w:r>
      <w:r>
        <w:rPr>
          <w:rFonts w:hint="eastAsia" w:ascii="楷体_GB2312" w:hAnsi="楷体_GB2312" w:eastAsia="楷体_GB2312" w:cs="楷体_GB2312"/>
          <w:color w:val="auto"/>
          <w:shd w:val="clear" w:color="auto" w:fill="FFFFFF"/>
        </w:rPr>
        <w:t>药品使用的安全</w:t>
      </w:r>
      <w:r>
        <w:rPr>
          <w:rFonts w:hint="eastAsia" w:ascii="楷体_GB2312" w:hAnsi="楷体_GB2312" w:eastAsia="楷体_GB2312" w:cs="楷体_GB2312"/>
          <w:color w:val="auto"/>
          <w:shd w:val="clear" w:color="auto" w:fill="FFFFFF"/>
          <w:lang w:eastAsia="zh-CN"/>
        </w:rPr>
        <w:t>性</w:t>
      </w:r>
      <w:r>
        <w:rPr>
          <w:rFonts w:hint="eastAsia" w:ascii="楷体_GB2312" w:hAnsi="楷体_GB2312" w:eastAsia="楷体_GB2312" w:cs="楷体_GB2312"/>
          <w:color w:val="auto"/>
          <w:shd w:val="clear" w:color="auto" w:fill="FFFFFF"/>
        </w:rPr>
        <w:t>、有效</w:t>
      </w:r>
      <w:r>
        <w:rPr>
          <w:rFonts w:hint="eastAsia" w:ascii="楷体_GB2312" w:hAnsi="楷体_GB2312" w:eastAsia="楷体_GB2312" w:cs="楷体_GB2312"/>
          <w:color w:val="auto"/>
          <w:shd w:val="clear" w:color="auto" w:fill="FFFFFF"/>
          <w:lang w:eastAsia="zh-CN"/>
        </w:rPr>
        <w:t>性</w:t>
      </w:r>
      <w:r>
        <w:rPr>
          <w:rFonts w:hint="eastAsia" w:ascii="楷体_GB2312" w:hAnsi="楷体_GB2312" w:eastAsia="楷体_GB2312" w:cs="楷体_GB2312"/>
          <w:color w:val="auto"/>
          <w:shd w:val="clear" w:color="auto" w:fill="FFFFFF"/>
        </w:rPr>
        <w:t>与合理性</w:t>
      </w:r>
      <w:r>
        <w:rPr>
          <w:rFonts w:hint="eastAsia" w:ascii="楷体_GB2312" w:hAnsi="楷体_GB2312" w:eastAsia="楷体_GB2312" w:cs="楷体_GB2312"/>
          <w:color w:val="auto"/>
          <w:shd w:val="clear" w:color="auto" w:fill="FFFFFF"/>
          <w:lang w:eastAsia="zh-CN"/>
        </w:rPr>
        <w:t>的</w:t>
      </w:r>
      <w:r>
        <w:rPr>
          <w:rFonts w:hint="eastAsia" w:ascii="楷体_GB2312" w:hAnsi="楷体_GB2312" w:eastAsia="楷体_GB2312" w:cs="楷体_GB2312"/>
          <w:color w:val="auto"/>
          <w:shd w:val="clear" w:color="auto" w:fill="FFFFFF"/>
        </w:rPr>
        <w:t>愈</w:t>
      </w:r>
      <w:r>
        <w:rPr>
          <w:rFonts w:hint="eastAsia" w:ascii="楷体_GB2312" w:hAnsi="楷体_GB2312" w:eastAsia="楷体_GB2312" w:cs="楷体_GB2312"/>
          <w:color w:val="auto"/>
          <w:shd w:val="clear" w:color="auto" w:fill="FFFFFF"/>
          <w:lang w:eastAsia="zh-CN"/>
        </w:rPr>
        <w:t>加</w:t>
      </w:r>
      <w:r>
        <w:rPr>
          <w:rFonts w:hint="eastAsia" w:ascii="楷体_GB2312" w:hAnsi="楷体_GB2312" w:eastAsia="楷体_GB2312" w:cs="楷体_GB2312"/>
          <w:color w:val="auto"/>
          <w:shd w:val="clear" w:color="auto" w:fill="FFFFFF"/>
        </w:rPr>
        <w:t>重视，中药学与临床的结合日趋紧密</w:t>
      </w:r>
      <w:r>
        <w:rPr>
          <w:rFonts w:hint="eastAsia" w:ascii="楷体_GB2312" w:hAnsi="楷体_GB2312" w:eastAsia="楷体_GB2312" w:cs="楷体_GB2312"/>
          <w:color w:val="auto"/>
          <w:shd w:val="clear" w:color="auto" w:fill="FFFFFF"/>
          <w:lang w:eastAsia="zh-CN"/>
        </w:rPr>
        <w:t>，对</w:t>
      </w:r>
      <w:r>
        <w:rPr>
          <w:rFonts w:hint="eastAsia" w:ascii="楷体_GB2312" w:hAnsi="楷体_GB2312" w:eastAsia="楷体_GB2312" w:cs="楷体_GB2312"/>
          <w:color w:val="auto"/>
          <w:shd w:val="clear" w:color="auto" w:fill="FFFFFF"/>
        </w:rPr>
        <w:t>中药学人才</w:t>
      </w:r>
      <w:r>
        <w:rPr>
          <w:rFonts w:hint="eastAsia" w:ascii="楷体_GB2312" w:hAnsi="楷体_GB2312" w:eastAsia="楷体_GB2312" w:cs="楷体_GB2312"/>
          <w:color w:val="auto"/>
          <w:shd w:val="clear" w:color="auto" w:fill="FFFFFF"/>
          <w:lang w:eastAsia="zh-CN"/>
        </w:rPr>
        <w:t>的</w:t>
      </w:r>
      <w:r>
        <w:rPr>
          <w:rFonts w:hint="eastAsia" w:ascii="楷体_GB2312" w:hAnsi="楷体_GB2312" w:eastAsia="楷体_GB2312" w:cs="楷体_GB2312"/>
          <w:color w:val="auto"/>
          <w:shd w:val="clear" w:color="auto" w:fill="FFFFFF"/>
        </w:rPr>
        <w:t>需求日益</w:t>
      </w:r>
      <w:r>
        <w:rPr>
          <w:rFonts w:hint="eastAsia" w:ascii="楷体_GB2312" w:hAnsi="楷体_GB2312" w:eastAsia="楷体_GB2312" w:cs="楷体_GB2312"/>
          <w:color w:val="auto"/>
          <w:shd w:val="clear" w:color="auto" w:fill="FFFFFF"/>
          <w:lang w:val="en-US" w:eastAsia="zh-CN"/>
        </w:rPr>
        <w:t>增加</w:t>
      </w:r>
      <w:r>
        <w:rPr>
          <w:rFonts w:hint="eastAsia" w:ascii="楷体_GB2312" w:hAnsi="楷体_GB2312" w:eastAsia="楷体_GB2312" w:cs="楷体_GB2312"/>
          <w:color w:val="auto"/>
          <w:shd w:val="clear" w:color="auto" w:fill="FFFFFF"/>
        </w:rPr>
        <w:t>，就业前景</w:t>
      </w:r>
      <w:r>
        <w:rPr>
          <w:rFonts w:hint="eastAsia" w:ascii="楷体_GB2312" w:hAnsi="楷体_GB2312" w:eastAsia="楷体_GB2312" w:cs="楷体_GB2312"/>
          <w:color w:val="auto"/>
          <w:shd w:val="clear" w:color="auto" w:fill="FFFFFF"/>
          <w:lang w:eastAsia="zh-CN"/>
        </w:rPr>
        <w:t>非常广阔。</w:t>
      </w:r>
      <w:r>
        <w:rPr>
          <w:rFonts w:hint="eastAsia" w:ascii="楷体_GB2312" w:hAnsi="楷体_GB2312" w:eastAsia="楷体_GB2312" w:cs="楷体_GB2312"/>
          <w:color w:val="auto"/>
          <w:shd w:val="clear" w:color="auto" w:fill="FFFFFF"/>
        </w:rPr>
        <w:t>我院中药学专业毕业生就业率</w:t>
      </w:r>
      <w:r>
        <w:rPr>
          <w:rFonts w:hint="eastAsia" w:ascii="楷体_GB2312" w:hAnsi="楷体_GB2312" w:eastAsia="楷体_GB2312" w:cs="楷体_GB2312"/>
          <w:color w:val="auto"/>
          <w:shd w:val="clear" w:color="auto" w:fill="FFFFFF"/>
          <w:lang w:eastAsia="zh-CN"/>
        </w:rPr>
        <w:t>为</w:t>
      </w:r>
      <w:r>
        <w:rPr>
          <w:rFonts w:hint="eastAsia" w:ascii="楷体_GB2312" w:hAnsi="楷体_GB2312" w:eastAsia="楷体_GB2312" w:cs="楷体_GB2312"/>
          <w:color w:val="auto"/>
          <w:shd w:val="clear" w:color="auto" w:fill="FFFFFF"/>
        </w:rPr>
        <w:t>100%。</w:t>
      </w:r>
    </w:p>
    <w:p w14:paraId="757E5B9A">
      <w:pPr>
        <w:widowControl/>
        <w:spacing w:line="360" w:lineRule="auto"/>
        <w:jc w:val="left"/>
        <w:rPr>
          <w:rStyle w:val="11"/>
          <w:rFonts w:hint="eastAsia" w:ascii="楷体_GB2312" w:hAnsi="楷体_GB2312" w:eastAsia="楷体_GB2312" w:cs="楷体_GB2312"/>
          <w:bCs/>
          <w:color w:val="auto"/>
          <w:spacing w:val="8"/>
          <w:kern w:val="0"/>
          <w:sz w:val="24"/>
          <w:szCs w:val="24"/>
          <w:shd w:val="clear" w:color="auto" w:fill="FFFFFF"/>
          <w:lang w:bidi="ar"/>
        </w:rPr>
      </w:pPr>
      <w:r>
        <w:rPr>
          <w:rStyle w:val="11"/>
          <w:rFonts w:hint="eastAsia" w:ascii="楷体_GB2312" w:hAnsi="楷体_GB2312" w:eastAsia="楷体_GB2312" w:cs="楷体_GB2312"/>
          <w:bCs/>
          <w:color w:val="auto"/>
          <w:spacing w:val="8"/>
          <w:kern w:val="0"/>
          <w:sz w:val="24"/>
          <w:szCs w:val="24"/>
          <w:shd w:val="clear" w:color="auto" w:fill="FFFFFF"/>
          <w:lang w:bidi="ar"/>
        </w:rPr>
        <w:t>八、丰富多彩的专业校园文化活动</w:t>
      </w:r>
    </w:p>
    <w:p w14:paraId="102FAB12">
      <w:pPr>
        <w:pStyle w:val="7"/>
        <w:widowControl/>
        <w:spacing w:beforeAutospacing="0" w:afterAutospacing="0" w:line="360" w:lineRule="auto"/>
        <w:ind w:firstLine="480" w:firstLineChars="200"/>
        <w:rPr>
          <w:rFonts w:hint="eastAsia" w:ascii="楷体_GB2312" w:hAnsi="楷体_GB2312" w:eastAsia="楷体_GB2312" w:cs="楷体_GB2312"/>
          <w:color w:val="auto"/>
          <w:shd w:val="clear" w:color="auto" w:fill="FFFFFF"/>
        </w:rPr>
      </w:pPr>
      <w:r>
        <w:rPr>
          <w:rFonts w:hint="eastAsia" w:ascii="楷体_GB2312" w:hAnsi="楷体_GB2312" w:eastAsia="楷体_GB2312" w:cs="楷体_GB2312"/>
          <w:color w:val="auto"/>
          <w:shd w:val="clear" w:color="auto" w:fill="FFFFFF"/>
          <w:lang w:eastAsia="zh-CN"/>
        </w:rPr>
        <w:t>药学系</w:t>
      </w:r>
      <w:r>
        <w:rPr>
          <w:rFonts w:ascii="楷体_GB2312" w:hAnsi="楷体_GB2312" w:eastAsia="楷体_GB2312" w:cs="楷体_GB2312"/>
          <w:color w:val="auto"/>
          <w:shd w:val="clear" w:color="auto" w:fill="FFFFFF"/>
        </w:rPr>
        <w:t>各类</w:t>
      </w:r>
      <w:r>
        <w:rPr>
          <w:rFonts w:hint="eastAsia" w:ascii="楷体_GB2312" w:hAnsi="楷体_GB2312" w:eastAsia="楷体_GB2312" w:cs="楷体_GB2312"/>
          <w:color w:val="auto"/>
          <w:shd w:val="clear" w:color="auto" w:fill="FFFFFF"/>
        </w:rPr>
        <w:t>专业活动</w:t>
      </w:r>
      <w:r>
        <w:rPr>
          <w:rFonts w:ascii="楷体_GB2312" w:hAnsi="楷体_GB2312" w:eastAsia="楷体_GB2312" w:cs="楷体_GB2312"/>
          <w:color w:val="auto"/>
          <w:shd w:val="clear" w:color="auto" w:fill="FFFFFF"/>
        </w:rPr>
        <w:t>丰富多彩，</w:t>
      </w:r>
      <w:r>
        <w:rPr>
          <w:rFonts w:hint="eastAsia" w:ascii="楷体_GB2312" w:hAnsi="楷体_GB2312" w:eastAsia="楷体_GB2312" w:cs="楷体_GB2312"/>
          <w:color w:val="auto"/>
          <w:shd w:val="clear" w:color="auto" w:fill="FFFFFF"/>
          <w:lang w:eastAsia="zh-CN"/>
        </w:rPr>
        <w:t>不</w:t>
      </w:r>
      <w:r>
        <w:rPr>
          <w:rFonts w:hint="eastAsia" w:ascii="楷体_GB2312" w:hAnsi="楷体_GB2312" w:eastAsia="楷体_GB2312" w:cs="楷体_GB2312"/>
          <w:color w:val="auto"/>
          <w:shd w:val="clear" w:color="auto" w:fill="FFFFFF"/>
        </w:rPr>
        <w:t>定期举办校内中药传统技能大赛</w:t>
      </w:r>
      <w:r>
        <w:rPr>
          <w:rFonts w:hint="eastAsia" w:ascii="楷体_GB2312" w:hAnsi="楷体_GB2312" w:eastAsia="楷体_GB2312" w:cs="楷体_GB2312"/>
          <w:color w:val="auto"/>
          <w:shd w:val="clear" w:color="auto" w:fill="FFFFFF"/>
          <w:lang w:eastAsia="zh-CN"/>
        </w:rPr>
        <w:t>、</w:t>
      </w:r>
      <w:r>
        <w:rPr>
          <w:rFonts w:hint="eastAsia" w:ascii="楷体_GB2312" w:hAnsi="楷体_GB2312" w:eastAsia="楷体_GB2312" w:cs="楷体_GB2312"/>
          <w:color w:val="auto"/>
          <w:shd w:val="clear" w:color="auto" w:fill="FFFFFF"/>
          <w:lang w:val="en-US" w:eastAsia="zh-CN"/>
        </w:rPr>
        <w:t>野外采药识别活动、中医药文化集市</w:t>
      </w:r>
      <w:r>
        <w:rPr>
          <w:rFonts w:hint="eastAsia" w:ascii="楷体_GB2312" w:hAnsi="楷体_GB2312" w:eastAsia="楷体_GB2312" w:cs="楷体_GB2312"/>
          <w:color w:val="auto"/>
          <w:shd w:val="clear" w:color="auto" w:fill="FFFFFF"/>
        </w:rPr>
        <w:t>等</w:t>
      </w:r>
      <w:r>
        <w:rPr>
          <w:rFonts w:hint="eastAsia" w:ascii="楷体_GB2312" w:hAnsi="楷体_GB2312" w:eastAsia="楷体_GB2312" w:cs="楷体_GB2312"/>
          <w:color w:val="auto"/>
          <w:shd w:val="clear" w:color="auto" w:fill="FFFFFF"/>
          <w:lang w:eastAsia="zh-CN"/>
        </w:rPr>
        <w:t>活动</w:t>
      </w:r>
      <w:r>
        <w:rPr>
          <w:rFonts w:hint="eastAsia" w:ascii="楷体_GB2312" w:hAnsi="楷体_GB2312" w:eastAsia="楷体_GB2312" w:cs="楷体_GB2312"/>
          <w:color w:val="auto"/>
          <w:shd w:val="clear" w:color="auto" w:fill="FFFFFF"/>
        </w:rPr>
        <w:t>，不断提高中药</w:t>
      </w:r>
      <w:r>
        <w:rPr>
          <w:rFonts w:hint="eastAsia" w:ascii="楷体_GB2312" w:hAnsi="楷体_GB2312" w:eastAsia="楷体_GB2312" w:cs="楷体_GB2312"/>
          <w:color w:val="auto"/>
          <w:shd w:val="clear" w:color="auto" w:fill="FFFFFF"/>
          <w:lang w:eastAsia="zh-CN"/>
        </w:rPr>
        <w:t>学</w:t>
      </w:r>
      <w:r>
        <w:rPr>
          <w:rFonts w:hint="eastAsia" w:ascii="楷体_GB2312" w:hAnsi="楷体_GB2312" w:eastAsia="楷体_GB2312" w:cs="楷体_GB2312"/>
          <w:color w:val="auto"/>
          <w:shd w:val="clear" w:color="auto" w:fill="FFFFFF"/>
        </w:rPr>
        <w:t>专业教学质量和学生职业技能水平，培养学生的思维能力、动手能力和实践创新能力，丰富了学生的日常文化生活，为学生的求学生涯增光添彩。</w:t>
      </w:r>
    </w:p>
    <w:tbl>
      <w:tblPr>
        <w:tblStyle w:val="9"/>
        <w:tblW w:w="928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569"/>
        <w:gridCol w:w="4719"/>
      </w:tblGrid>
      <w:tr w14:paraId="5783C8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569" w:type="dxa"/>
          </w:tcPr>
          <w:p w14:paraId="2B786627">
            <w:pPr>
              <w:pStyle w:val="7"/>
              <w:widowControl/>
              <w:spacing w:beforeAutospacing="0" w:afterAutospacing="0" w:line="360" w:lineRule="auto"/>
              <w:rPr>
                <w:rFonts w:hint="eastAsia" w:ascii="楷体_GB2312" w:hAnsi="楷体_GB2312" w:eastAsia="楷体_GB2312" w:cs="楷体_GB2312"/>
                <w:color w:val="auto"/>
                <w:shd w:val="clear" w:color="auto" w:fill="FFFFFF"/>
                <w:vertAlign w:val="baseline"/>
                <w:lang w:eastAsia="zh-CN"/>
              </w:rPr>
            </w:pPr>
            <w:r>
              <w:rPr>
                <w:rFonts w:hint="eastAsia" w:ascii="楷体_GB2312" w:hAnsi="楷体_GB2312" w:eastAsia="楷体_GB2312" w:cs="楷体_GB2312"/>
                <w:color w:val="auto"/>
                <w:shd w:val="clear" w:color="auto" w:fill="FFFFFF"/>
                <w:vertAlign w:val="baseline"/>
                <w:lang w:eastAsia="zh-CN"/>
              </w:rPr>
              <w:drawing>
                <wp:inline distT="0" distB="0" distL="114300" distR="114300">
                  <wp:extent cx="2759075" cy="2069465"/>
                  <wp:effectExtent l="0" t="0" r="3175" b="6985"/>
                  <wp:docPr id="15" name="图片 15" descr="9cfcd0c2cca30fea51de055d91d39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9cfcd0c2cca30fea51de055d91d393d"/>
                          <pic:cNvPicPr>
                            <a:picLocks noChangeAspect="1"/>
                          </pic:cNvPicPr>
                        </pic:nvPicPr>
                        <pic:blipFill>
                          <a:blip r:embed="rId17"/>
                          <a:stretch>
                            <a:fillRect/>
                          </a:stretch>
                        </pic:blipFill>
                        <pic:spPr>
                          <a:xfrm>
                            <a:off x="0" y="0"/>
                            <a:ext cx="2759075" cy="2069465"/>
                          </a:xfrm>
                          <a:prstGeom prst="rect">
                            <a:avLst/>
                          </a:prstGeom>
                        </pic:spPr>
                      </pic:pic>
                    </a:graphicData>
                  </a:graphic>
                </wp:inline>
              </w:drawing>
            </w:r>
          </w:p>
        </w:tc>
        <w:tc>
          <w:tcPr>
            <w:tcW w:w="4719" w:type="dxa"/>
          </w:tcPr>
          <w:p w14:paraId="63418EB9">
            <w:pPr>
              <w:pStyle w:val="7"/>
              <w:widowControl/>
              <w:spacing w:beforeAutospacing="0" w:afterAutospacing="0" w:line="360" w:lineRule="auto"/>
              <w:rPr>
                <w:rFonts w:hint="eastAsia" w:ascii="楷体_GB2312" w:hAnsi="楷体_GB2312" w:eastAsia="楷体_GB2312" w:cs="楷体_GB2312"/>
                <w:color w:val="auto"/>
                <w:shd w:val="clear" w:color="auto" w:fill="FFFFFF"/>
                <w:vertAlign w:val="baseline"/>
                <w:lang w:eastAsia="zh-CN"/>
              </w:rPr>
            </w:pPr>
            <w:r>
              <w:rPr>
                <w:rFonts w:hint="eastAsia" w:ascii="楷体_GB2312" w:hAnsi="楷体_GB2312" w:eastAsia="楷体_GB2312" w:cs="楷体_GB2312"/>
                <w:color w:val="auto"/>
                <w:shd w:val="clear" w:color="auto" w:fill="FFFFFF"/>
                <w:vertAlign w:val="baseline"/>
                <w:lang w:eastAsia="zh-CN"/>
              </w:rPr>
              <w:drawing>
                <wp:inline distT="0" distB="0" distL="114300" distR="114300">
                  <wp:extent cx="2853055" cy="2072005"/>
                  <wp:effectExtent l="0" t="0" r="4445" b="4445"/>
                  <wp:docPr id="17" name="图片 17" descr="0e1814b4d57db273b21c6ecaed5b2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0e1814b4d57db273b21c6ecaed5b2ec"/>
                          <pic:cNvPicPr>
                            <a:picLocks noChangeAspect="1"/>
                          </pic:cNvPicPr>
                        </pic:nvPicPr>
                        <pic:blipFill>
                          <a:blip r:embed="rId18"/>
                          <a:stretch>
                            <a:fillRect/>
                          </a:stretch>
                        </pic:blipFill>
                        <pic:spPr>
                          <a:xfrm>
                            <a:off x="0" y="0"/>
                            <a:ext cx="2853055" cy="2072005"/>
                          </a:xfrm>
                          <a:prstGeom prst="rect">
                            <a:avLst/>
                          </a:prstGeom>
                        </pic:spPr>
                      </pic:pic>
                    </a:graphicData>
                  </a:graphic>
                </wp:inline>
              </w:drawing>
            </w:r>
          </w:p>
        </w:tc>
      </w:tr>
      <w:tr w14:paraId="56B303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569" w:type="dxa"/>
          </w:tcPr>
          <w:p w14:paraId="409B6E2D">
            <w:pPr>
              <w:pStyle w:val="7"/>
              <w:widowControl/>
              <w:spacing w:beforeAutospacing="0" w:afterAutospacing="0" w:line="360" w:lineRule="auto"/>
              <w:jc w:val="center"/>
              <w:rPr>
                <w:rFonts w:hint="default" w:ascii="楷体_GB2312" w:hAnsi="楷体_GB2312" w:eastAsia="楷体_GB2312" w:cs="楷体_GB2312"/>
                <w:color w:val="auto"/>
                <w:kern w:val="0"/>
                <w:sz w:val="15"/>
                <w:szCs w:val="15"/>
                <w:lang w:val="en-US" w:eastAsia="zh-CN" w:bidi="ar-SA"/>
              </w:rPr>
            </w:pPr>
            <w:r>
              <w:rPr>
                <w:rFonts w:hint="eastAsia" w:ascii="楷体_GB2312" w:hAnsi="楷体_GB2312" w:eastAsia="楷体_GB2312" w:cs="楷体_GB2312"/>
                <w:color w:val="auto"/>
                <w:kern w:val="2"/>
                <w:sz w:val="21"/>
                <w:szCs w:val="24"/>
                <w:shd w:val="clear" w:color="auto" w:fill="FFFFFF"/>
                <w:vertAlign w:val="baseline"/>
                <w:lang w:val="en-US" w:eastAsia="zh-CN" w:bidi="ar-SA"/>
              </w:rPr>
              <w:t>野外采药识别活动</w:t>
            </w:r>
          </w:p>
        </w:tc>
        <w:tc>
          <w:tcPr>
            <w:tcW w:w="4719" w:type="dxa"/>
          </w:tcPr>
          <w:p w14:paraId="4D2F8447">
            <w:pPr>
              <w:pStyle w:val="7"/>
              <w:widowControl/>
              <w:spacing w:beforeAutospacing="0" w:afterAutospacing="0" w:line="360" w:lineRule="auto"/>
              <w:jc w:val="center"/>
              <w:rPr>
                <w:rFonts w:hint="default" w:ascii="楷体_GB2312" w:hAnsi="楷体_GB2312" w:eastAsia="楷体_GB2312" w:cs="楷体_GB2312"/>
                <w:color w:val="auto"/>
                <w:kern w:val="0"/>
                <w:sz w:val="15"/>
                <w:szCs w:val="15"/>
                <w:lang w:val="en-US" w:eastAsia="zh-CN" w:bidi="ar-SA"/>
              </w:rPr>
            </w:pPr>
            <w:r>
              <w:rPr>
                <w:rFonts w:hint="eastAsia" w:ascii="楷体_GB2312" w:hAnsi="楷体_GB2312" w:eastAsia="楷体_GB2312" w:cs="楷体_GB2312"/>
                <w:color w:val="auto"/>
                <w:kern w:val="2"/>
                <w:sz w:val="21"/>
                <w:szCs w:val="24"/>
                <w:shd w:val="clear" w:color="auto" w:fill="FFFFFF"/>
                <w:vertAlign w:val="baseline"/>
                <w:lang w:val="en-US" w:eastAsia="zh-CN" w:bidi="ar-SA"/>
              </w:rPr>
              <w:t>中医药文化市集活动</w:t>
            </w:r>
          </w:p>
        </w:tc>
      </w:tr>
      <w:tr w14:paraId="69B81E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569" w:type="dxa"/>
          </w:tcPr>
          <w:p w14:paraId="0D2D06AD">
            <w:pPr>
              <w:pStyle w:val="7"/>
              <w:widowControl/>
              <w:spacing w:beforeAutospacing="0" w:afterAutospacing="0" w:line="360" w:lineRule="auto"/>
              <w:rPr>
                <w:rFonts w:hint="eastAsia" w:ascii="楷体_GB2312" w:hAnsi="楷体_GB2312" w:eastAsia="楷体_GB2312" w:cs="楷体_GB2312"/>
                <w:color w:val="auto"/>
                <w:lang w:eastAsia="zh-CN"/>
              </w:rPr>
            </w:pPr>
            <w:r>
              <w:rPr>
                <w:rFonts w:hint="eastAsia" w:ascii="楷体_GB2312" w:hAnsi="楷体_GB2312" w:eastAsia="楷体_GB2312" w:cs="楷体_GB2312"/>
                <w:color w:val="auto"/>
                <w:lang w:eastAsia="zh-CN"/>
              </w:rPr>
              <w:drawing>
                <wp:inline distT="0" distB="0" distL="114300" distR="114300">
                  <wp:extent cx="2764155" cy="2072640"/>
                  <wp:effectExtent l="0" t="0" r="17145" b="3810"/>
                  <wp:docPr id="18" name="图片 18" descr="3364ffff4353613335d58d479e84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3364ffff4353613335d58d479e84e12"/>
                          <pic:cNvPicPr>
                            <a:picLocks noChangeAspect="1"/>
                          </pic:cNvPicPr>
                        </pic:nvPicPr>
                        <pic:blipFill>
                          <a:blip r:embed="rId19"/>
                          <a:stretch>
                            <a:fillRect/>
                          </a:stretch>
                        </pic:blipFill>
                        <pic:spPr>
                          <a:xfrm>
                            <a:off x="0" y="0"/>
                            <a:ext cx="2764155" cy="2072640"/>
                          </a:xfrm>
                          <a:prstGeom prst="rect">
                            <a:avLst/>
                          </a:prstGeom>
                        </pic:spPr>
                      </pic:pic>
                    </a:graphicData>
                  </a:graphic>
                </wp:inline>
              </w:drawing>
            </w:r>
          </w:p>
        </w:tc>
        <w:tc>
          <w:tcPr>
            <w:tcW w:w="4719" w:type="dxa"/>
          </w:tcPr>
          <w:p w14:paraId="09F4D4DE">
            <w:pPr>
              <w:pStyle w:val="7"/>
              <w:widowControl/>
              <w:spacing w:beforeAutospacing="0" w:afterAutospacing="0" w:line="360" w:lineRule="auto"/>
              <w:rPr>
                <w:rFonts w:hint="eastAsia" w:ascii="楷体_GB2312" w:hAnsi="楷体_GB2312" w:eastAsia="楷体_GB2312" w:cs="楷体_GB2312"/>
                <w:color w:val="auto"/>
                <w:lang w:eastAsia="zh-CN"/>
              </w:rPr>
            </w:pPr>
            <w:r>
              <w:rPr>
                <w:rFonts w:hint="eastAsia" w:ascii="楷体_GB2312" w:hAnsi="楷体_GB2312" w:eastAsia="楷体_GB2312" w:cs="楷体_GB2312"/>
                <w:color w:val="auto"/>
                <w:lang w:eastAsia="zh-CN"/>
              </w:rPr>
              <w:drawing>
                <wp:inline distT="0" distB="0" distL="114300" distR="114300">
                  <wp:extent cx="2853055" cy="2139315"/>
                  <wp:effectExtent l="0" t="0" r="4445" b="13335"/>
                  <wp:docPr id="14" name="图片 14" descr="f9e6274f7d043384afbad5f4a45527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f9e6274f7d043384afbad5f4a45527f"/>
                          <pic:cNvPicPr>
                            <a:picLocks noChangeAspect="1"/>
                          </pic:cNvPicPr>
                        </pic:nvPicPr>
                        <pic:blipFill>
                          <a:blip r:embed="rId20"/>
                          <a:stretch>
                            <a:fillRect/>
                          </a:stretch>
                        </pic:blipFill>
                        <pic:spPr>
                          <a:xfrm>
                            <a:off x="0" y="0"/>
                            <a:ext cx="2853055" cy="2139315"/>
                          </a:xfrm>
                          <a:prstGeom prst="rect">
                            <a:avLst/>
                          </a:prstGeom>
                        </pic:spPr>
                      </pic:pic>
                    </a:graphicData>
                  </a:graphic>
                </wp:inline>
              </w:drawing>
            </w:r>
          </w:p>
        </w:tc>
      </w:tr>
      <w:tr w14:paraId="1960C3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569" w:type="dxa"/>
          </w:tcPr>
          <w:p w14:paraId="32D37E14">
            <w:pPr>
              <w:pStyle w:val="7"/>
              <w:widowControl/>
              <w:spacing w:beforeAutospacing="0" w:afterAutospacing="0" w:line="360" w:lineRule="auto"/>
              <w:jc w:val="center"/>
              <w:rPr>
                <w:rFonts w:hint="eastAsia" w:ascii="楷体_GB2312" w:hAnsi="楷体_GB2312" w:eastAsia="楷体_GB2312" w:cs="楷体_GB2312"/>
                <w:color w:val="auto"/>
                <w:kern w:val="0"/>
                <w:sz w:val="15"/>
                <w:szCs w:val="15"/>
                <w:lang w:val="en-US" w:eastAsia="zh-CN" w:bidi="ar-SA"/>
              </w:rPr>
            </w:pPr>
            <w:r>
              <w:rPr>
                <w:rFonts w:hint="eastAsia" w:ascii="楷体_GB2312" w:hAnsi="楷体_GB2312" w:eastAsia="楷体_GB2312" w:cs="楷体_GB2312"/>
                <w:color w:val="auto"/>
                <w:kern w:val="2"/>
                <w:sz w:val="21"/>
                <w:szCs w:val="24"/>
                <w:shd w:val="clear" w:color="auto" w:fill="FFFFFF"/>
                <w:vertAlign w:val="baseline"/>
                <w:lang w:val="en-US" w:eastAsia="zh-CN" w:bidi="ar-SA"/>
              </w:rPr>
              <w:t>科普研学志愿服务活动</w:t>
            </w:r>
          </w:p>
        </w:tc>
        <w:tc>
          <w:tcPr>
            <w:tcW w:w="4719" w:type="dxa"/>
            <w:vAlign w:val="center"/>
          </w:tcPr>
          <w:p w14:paraId="22090DAE">
            <w:pPr>
              <w:pStyle w:val="7"/>
              <w:widowControl/>
              <w:spacing w:beforeAutospacing="0" w:afterAutospacing="0" w:line="360" w:lineRule="auto"/>
              <w:jc w:val="center"/>
              <w:rPr>
                <w:rFonts w:hint="default" w:ascii="楷体_GB2312" w:hAnsi="楷体_GB2312" w:eastAsia="楷体_GB2312" w:cs="楷体_GB2312"/>
                <w:color w:val="auto"/>
                <w:kern w:val="0"/>
                <w:sz w:val="15"/>
                <w:szCs w:val="15"/>
                <w:lang w:val="en-US" w:eastAsia="zh-CN" w:bidi="ar-SA"/>
              </w:rPr>
            </w:pPr>
            <w:r>
              <w:rPr>
                <w:rFonts w:hint="eastAsia" w:ascii="楷体_GB2312" w:hAnsi="楷体_GB2312" w:eastAsia="楷体_GB2312" w:cs="楷体_GB2312"/>
                <w:color w:val="auto"/>
                <w:kern w:val="2"/>
                <w:sz w:val="21"/>
                <w:szCs w:val="24"/>
                <w:shd w:val="clear" w:color="auto" w:fill="FFFFFF"/>
                <w:vertAlign w:val="baseline"/>
                <w:lang w:val="en-US" w:eastAsia="zh-CN" w:bidi="ar-SA"/>
              </w:rPr>
              <w:t>中成药手绘POP设计大赛</w:t>
            </w:r>
          </w:p>
        </w:tc>
      </w:tr>
    </w:tbl>
    <w:p w14:paraId="33C811B2">
      <w:pPr>
        <w:pStyle w:val="7"/>
        <w:keepNext w:val="0"/>
        <w:keepLines w:val="0"/>
        <w:pageBreakBefore w:val="0"/>
        <w:widowControl/>
        <w:kinsoku/>
        <w:wordWrap/>
        <w:overflowPunct/>
        <w:topLinePunct w:val="0"/>
        <w:autoSpaceDE/>
        <w:autoSpaceDN/>
        <w:bidi w:val="0"/>
        <w:adjustRightInd/>
        <w:snapToGrid/>
        <w:spacing w:beforeAutospacing="0" w:afterAutospacing="0" w:line="240" w:lineRule="atLeast"/>
        <w:jc w:val="both"/>
        <w:textAlignment w:val="auto"/>
        <w:rPr>
          <w:rStyle w:val="11"/>
          <w:rFonts w:hint="eastAsia" w:ascii="楷体_GB2312" w:hAnsi="楷体_GB2312" w:eastAsia="楷体_GB2312" w:cs="楷体_GB2312"/>
          <w:bCs/>
          <w:color w:val="auto"/>
          <w:spacing w:val="8"/>
          <w:kern w:val="0"/>
          <w:sz w:val="24"/>
          <w:szCs w:val="24"/>
          <w:shd w:val="clear" w:color="auto" w:fill="FFFFFF"/>
          <w:lang w:bidi="ar"/>
        </w:rPr>
      </w:pPr>
      <w:bookmarkStart w:id="0" w:name="_Toc35345009"/>
    </w:p>
    <w:p w14:paraId="65BE6537">
      <w:pPr>
        <w:pStyle w:val="7"/>
        <w:keepNext w:val="0"/>
        <w:keepLines w:val="0"/>
        <w:pageBreakBefore w:val="0"/>
        <w:widowControl/>
        <w:kinsoku/>
        <w:wordWrap/>
        <w:overflowPunct/>
        <w:topLinePunct w:val="0"/>
        <w:autoSpaceDE/>
        <w:autoSpaceDN/>
        <w:bidi w:val="0"/>
        <w:adjustRightInd/>
        <w:snapToGrid/>
        <w:spacing w:beforeAutospacing="0" w:afterAutospacing="0" w:line="240" w:lineRule="atLeast"/>
        <w:jc w:val="both"/>
        <w:textAlignment w:val="auto"/>
        <w:rPr>
          <w:rStyle w:val="11"/>
          <w:rFonts w:hint="eastAsia" w:ascii="楷体_GB2312" w:hAnsi="楷体_GB2312" w:eastAsia="楷体_GB2312" w:cs="楷体_GB2312"/>
          <w:bCs/>
          <w:color w:val="auto"/>
          <w:spacing w:val="8"/>
          <w:kern w:val="0"/>
          <w:sz w:val="24"/>
          <w:szCs w:val="24"/>
          <w:shd w:val="clear" w:color="auto" w:fill="FFFFFF"/>
          <w:lang w:bidi="ar"/>
        </w:rPr>
      </w:pPr>
      <w:r>
        <w:rPr>
          <w:rStyle w:val="11"/>
          <w:rFonts w:hint="eastAsia" w:ascii="楷体_GB2312" w:hAnsi="楷体_GB2312" w:eastAsia="楷体_GB2312" w:cs="楷体_GB2312"/>
          <w:bCs/>
          <w:color w:val="auto"/>
          <w:spacing w:val="8"/>
          <w:kern w:val="0"/>
          <w:sz w:val="24"/>
          <w:szCs w:val="24"/>
          <w:shd w:val="clear" w:color="auto" w:fill="FFFFFF"/>
          <w:lang w:bidi="ar"/>
        </w:rPr>
        <w:t>九、招生政策</w:t>
      </w:r>
      <w:bookmarkEnd w:id="0"/>
    </w:p>
    <w:p w14:paraId="1D2E36C5">
      <w:pPr>
        <w:pStyle w:val="7"/>
        <w:widowControl/>
        <w:spacing w:beforeAutospacing="0" w:afterAutospacing="0" w:line="360" w:lineRule="auto"/>
        <w:ind w:firstLine="480" w:firstLineChars="200"/>
        <w:jc w:val="both"/>
        <w:rPr>
          <w:rFonts w:hint="eastAsia" w:ascii="楷体_GB2312" w:hAnsi="楷体_GB2312" w:eastAsia="楷体_GB2312" w:cs="楷体_GB2312"/>
          <w:color w:val="auto"/>
          <w:shd w:val="clear" w:color="auto" w:fill="FFFFFF"/>
          <w:lang w:eastAsia="zh-CN"/>
        </w:rPr>
      </w:pPr>
      <w:r>
        <w:rPr>
          <w:rFonts w:hint="eastAsia" w:ascii="楷体_GB2312" w:hAnsi="楷体_GB2312" w:eastAsia="楷体_GB2312" w:cs="楷体_GB2312"/>
          <w:color w:val="auto"/>
          <w:shd w:val="clear" w:color="auto" w:fill="FFFFFF"/>
        </w:rPr>
        <w:t>夏季高考考生需参加山东省统一组织的文化课考试。考生按照山东省教育招生考试院高职（专科）填报志愿的时间段登录省招考院网站填报济南护理职业学院高考志愿</w:t>
      </w:r>
      <w:r>
        <w:rPr>
          <w:rFonts w:hint="eastAsia" w:ascii="楷体_GB2312" w:hAnsi="楷体_GB2312" w:eastAsia="楷体_GB2312" w:cs="楷体_GB2312"/>
          <w:color w:val="auto"/>
          <w:shd w:val="clear" w:color="auto" w:fill="FFFFFF"/>
          <w:lang w:eastAsia="zh-CN"/>
        </w:rPr>
        <w:t>。</w:t>
      </w:r>
    </w:p>
    <w:p w14:paraId="43224494">
      <w:pPr>
        <w:pStyle w:val="7"/>
        <w:widowControl/>
        <w:spacing w:beforeAutospacing="0" w:afterAutospacing="0" w:line="360" w:lineRule="auto"/>
        <w:ind w:firstLine="480" w:firstLineChars="200"/>
        <w:jc w:val="both"/>
        <w:rPr>
          <w:rFonts w:hint="eastAsia" w:ascii="楷体_GB2312" w:hAnsi="楷体_GB2312" w:eastAsia="楷体_GB2312" w:cs="楷体_GB2312"/>
          <w:color w:val="auto"/>
          <w:shd w:val="clear" w:color="auto" w:fill="FFFFFF"/>
        </w:rPr>
      </w:pPr>
      <w:r>
        <w:rPr>
          <w:rFonts w:hint="eastAsia" w:ascii="楷体_GB2312" w:hAnsi="楷体_GB2312" w:eastAsia="楷体_GB2312" w:cs="楷体_GB2312"/>
          <w:color w:val="auto"/>
          <w:shd w:val="clear" w:color="auto" w:fill="FFFFFF"/>
        </w:rPr>
        <w:t>春季高考考生需参加山东省统一组织的文化考试和技能测试。考生按照山东省教育招生考试院高职（专科）填报志愿的时间段登录省招考院网站填报济南护理职业学院高考志愿。</w:t>
      </w:r>
    </w:p>
    <w:p w14:paraId="08F4D740">
      <w:pPr>
        <w:pStyle w:val="7"/>
        <w:widowControl/>
        <w:spacing w:beforeAutospacing="0" w:afterAutospacing="0" w:line="360" w:lineRule="auto"/>
        <w:ind w:firstLine="480" w:firstLineChars="200"/>
        <w:jc w:val="both"/>
        <w:rPr>
          <w:rFonts w:hint="eastAsia" w:ascii="楷体_GB2312" w:hAnsi="楷体_GB2312" w:eastAsia="楷体_GB2312" w:cs="楷体_GB2312"/>
          <w:color w:val="auto"/>
          <w:shd w:val="clear" w:color="auto" w:fill="FFFFFF"/>
        </w:rPr>
      </w:pPr>
      <w:r>
        <w:rPr>
          <w:rFonts w:hint="eastAsia" w:ascii="楷体_GB2312" w:hAnsi="楷体_GB2312" w:eastAsia="楷体_GB2312" w:cs="楷体_GB2312"/>
          <w:color w:val="auto"/>
          <w:shd w:val="clear" w:color="auto" w:fill="FFFFFF"/>
          <w:lang w:val="en-US" w:eastAsia="zh-CN"/>
        </w:rPr>
        <w:t>注：各专业招生计划以教育招生考试院批复为准。</w:t>
      </w:r>
    </w:p>
    <w:p w14:paraId="5A852546">
      <w:pPr>
        <w:widowControl/>
        <w:spacing w:line="360" w:lineRule="auto"/>
        <w:jc w:val="left"/>
        <w:rPr>
          <w:rStyle w:val="11"/>
          <w:rFonts w:ascii="楷体_GB2312" w:hAnsi="楷体_GB2312" w:eastAsia="楷体_GB2312" w:cs="楷体_GB2312"/>
          <w:bCs/>
          <w:color w:val="auto"/>
          <w:spacing w:val="8"/>
          <w:kern w:val="0"/>
          <w:sz w:val="24"/>
          <w:szCs w:val="24"/>
          <w:shd w:val="clear" w:color="auto" w:fill="FFFFFF"/>
          <w:lang w:bidi="ar"/>
        </w:rPr>
      </w:pPr>
      <w:bookmarkStart w:id="1" w:name="_Toc35345010"/>
      <w:r>
        <w:rPr>
          <w:rStyle w:val="11"/>
          <w:rFonts w:hint="eastAsia" w:ascii="楷体_GB2312" w:hAnsi="楷体_GB2312" w:eastAsia="楷体_GB2312" w:cs="楷体_GB2312"/>
          <w:bCs/>
          <w:color w:val="auto"/>
          <w:spacing w:val="8"/>
          <w:kern w:val="0"/>
          <w:sz w:val="24"/>
          <w:szCs w:val="24"/>
          <w:shd w:val="clear" w:color="auto" w:fill="FFFFFF"/>
          <w:lang w:bidi="ar"/>
        </w:rPr>
        <w:t>十、</w:t>
      </w:r>
      <w:r>
        <w:rPr>
          <w:rStyle w:val="11"/>
          <w:rFonts w:ascii="楷体_GB2312" w:hAnsi="楷体_GB2312" w:eastAsia="楷体_GB2312" w:cs="楷体_GB2312"/>
          <w:bCs/>
          <w:color w:val="auto"/>
          <w:spacing w:val="8"/>
          <w:kern w:val="0"/>
          <w:sz w:val="24"/>
          <w:szCs w:val="24"/>
          <w:shd w:val="clear" w:color="auto" w:fill="FFFFFF"/>
          <w:lang w:bidi="ar"/>
        </w:rPr>
        <w:t>贫困生资助</w:t>
      </w:r>
      <w:bookmarkEnd w:id="1"/>
    </w:p>
    <w:p w14:paraId="4AD7858E">
      <w:pPr>
        <w:pStyle w:val="7"/>
        <w:widowControl/>
        <w:spacing w:beforeAutospacing="0" w:afterAutospacing="0" w:line="360" w:lineRule="auto"/>
        <w:ind w:firstLine="480" w:firstLineChars="200"/>
        <w:rPr>
          <w:rFonts w:ascii="楷体" w:hAnsi="楷体" w:eastAsia="楷体"/>
          <w:color w:val="auto"/>
        </w:rPr>
      </w:pPr>
      <w:r>
        <w:rPr>
          <w:rFonts w:hint="eastAsia" w:ascii="楷体_GB2312" w:hAnsi="楷体_GB2312" w:eastAsia="楷体_GB2312" w:cs="楷体_GB2312"/>
          <w:color w:val="auto"/>
          <w:shd w:val="clear" w:color="auto" w:fill="FFFFFF"/>
          <w:lang w:val="en-US" w:eastAsia="zh-CN"/>
        </w:rPr>
        <w:t>学院</w:t>
      </w:r>
      <w:r>
        <w:rPr>
          <w:rFonts w:hint="eastAsia" w:ascii="楷体_GB2312" w:hAnsi="楷体_GB2312" w:eastAsia="楷体_GB2312" w:cs="楷体_GB2312"/>
          <w:color w:val="auto"/>
          <w:shd w:val="clear" w:color="auto" w:fill="FFFFFF"/>
        </w:rPr>
        <w:t>通过奖、贷、助、补、免等多种资助方式帮助学生完成学业。家庭经济困难学生可申请助学贷款、“绿色通道”、奖助学金、学费减免、勤工助学等资助项目。资助条件和标准由</w:t>
      </w:r>
      <w:r>
        <w:rPr>
          <w:rFonts w:hint="eastAsia" w:ascii="楷体_GB2312" w:hAnsi="楷体_GB2312" w:eastAsia="楷体_GB2312" w:cs="楷体_GB2312"/>
          <w:color w:val="auto"/>
          <w:shd w:val="clear" w:color="auto" w:fill="FFFFFF"/>
          <w:lang w:val="en-US" w:eastAsia="zh-CN"/>
        </w:rPr>
        <w:t>学院</w:t>
      </w:r>
      <w:r>
        <w:rPr>
          <w:rFonts w:hint="eastAsia" w:ascii="楷体_GB2312" w:hAnsi="楷体_GB2312" w:eastAsia="楷体_GB2312" w:cs="楷体_GB2312"/>
          <w:color w:val="auto"/>
          <w:shd w:val="clear" w:color="auto" w:fill="FFFFFF"/>
        </w:rPr>
        <w:t>根据学生家庭经济情况，按照省财政厅、省教育厅等5部门《山东省学生资助资金管理办法》（鲁财科教〔2022〕17 号）以及</w:t>
      </w:r>
      <w:r>
        <w:rPr>
          <w:rFonts w:hint="eastAsia" w:ascii="楷体_GB2312" w:hAnsi="楷体_GB2312" w:eastAsia="楷体_GB2312" w:cs="楷体_GB2312"/>
          <w:color w:val="auto"/>
          <w:shd w:val="clear" w:color="auto" w:fill="FFFFFF"/>
          <w:lang w:val="en-US" w:eastAsia="zh-CN"/>
        </w:rPr>
        <w:t>学院</w:t>
      </w:r>
      <w:r>
        <w:rPr>
          <w:rFonts w:hint="eastAsia" w:ascii="楷体_GB2312" w:hAnsi="楷体_GB2312" w:eastAsia="楷体_GB2312" w:cs="楷体_GB2312"/>
          <w:color w:val="auto"/>
          <w:shd w:val="clear" w:color="auto" w:fill="FFFFFF"/>
        </w:rPr>
        <w:t xml:space="preserve">相关规定执行。 </w:t>
      </w:r>
      <w:r>
        <w:rPr>
          <w:rFonts w:hint="eastAsia" w:ascii="楷体_GB2312" w:hAnsi="楷体_GB2312" w:eastAsia="楷体_GB2312" w:cs="楷体_GB2312"/>
          <w:color w:val="auto"/>
          <w:shd w:val="clear" w:color="auto" w:fill="FFFFFF"/>
        </w:rPr>
        <w:t xml:space="preserve"> </w:t>
      </w:r>
      <w:r>
        <w:rPr>
          <w:rFonts w:ascii="楷体_GB2312" w:hAnsi="楷体_GB2312" w:eastAsia="楷体_GB2312" w:cs="楷体_GB2312"/>
          <w:color w:val="auto"/>
          <w:shd w:val="clear" w:color="auto" w:fill="FFFFFF"/>
        </w:rPr>
        <w:t xml:space="preserve">     </w:t>
      </w:r>
    </w:p>
    <w:p w14:paraId="13236A7B">
      <w:pPr>
        <w:widowControl/>
        <w:spacing w:line="360" w:lineRule="auto"/>
        <w:jc w:val="left"/>
        <w:rPr>
          <w:rStyle w:val="11"/>
          <w:rFonts w:hint="eastAsia" w:ascii="楷体_GB2312" w:hAnsi="楷体_GB2312" w:eastAsia="楷体_GB2312" w:cs="楷体_GB2312"/>
          <w:bCs/>
          <w:color w:val="auto"/>
          <w:spacing w:val="8"/>
          <w:kern w:val="0"/>
          <w:sz w:val="24"/>
          <w:szCs w:val="24"/>
          <w:shd w:val="clear" w:color="auto" w:fill="FFFFFF"/>
          <w:lang w:bidi="ar"/>
        </w:rPr>
      </w:pPr>
      <w:bookmarkStart w:id="2" w:name="_Toc35345011"/>
    </w:p>
    <w:p w14:paraId="43F2C26C">
      <w:pPr>
        <w:widowControl/>
        <w:spacing w:line="360" w:lineRule="auto"/>
        <w:jc w:val="left"/>
        <w:rPr>
          <w:rStyle w:val="11"/>
          <w:rFonts w:ascii="楷体_GB2312" w:hAnsi="楷体_GB2312" w:eastAsia="楷体_GB2312" w:cs="楷体_GB2312"/>
          <w:bCs/>
          <w:color w:val="auto"/>
          <w:spacing w:val="8"/>
          <w:kern w:val="0"/>
          <w:sz w:val="24"/>
          <w:szCs w:val="24"/>
          <w:shd w:val="clear" w:color="auto" w:fill="FFFFFF"/>
          <w:lang w:bidi="ar"/>
        </w:rPr>
      </w:pPr>
      <w:r>
        <w:rPr>
          <w:rStyle w:val="11"/>
          <w:rFonts w:hint="eastAsia" w:ascii="楷体_GB2312" w:hAnsi="楷体_GB2312" w:eastAsia="楷体_GB2312" w:cs="楷体_GB2312"/>
          <w:bCs/>
          <w:color w:val="auto"/>
          <w:spacing w:val="8"/>
          <w:kern w:val="0"/>
          <w:sz w:val="24"/>
          <w:szCs w:val="24"/>
          <w:shd w:val="clear" w:color="auto" w:fill="FFFFFF"/>
          <w:lang w:bidi="ar"/>
        </w:rPr>
        <w:t>十一、收费标准</w:t>
      </w:r>
      <w:bookmarkEnd w:id="2"/>
    </w:p>
    <w:p w14:paraId="78171BD9">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default" w:ascii="楷体_GB2312" w:hAnsi="楷体_GB2312" w:eastAsia="楷体_GB2312" w:cs="楷体_GB2312"/>
          <w:color w:val="auto"/>
          <w:shd w:val="clear" w:color="auto" w:fill="FFFFFF"/>
          <w:lang w:val="en-US" w:eastAsia="zh-CN"/>
        </w:rPr>
      </w:pPr>
      <w:r>
        <w:rPr>
          <w:rFonts w:hint="default" w:ascii="楷体_GB2312" w:hAnsi="楷体_GB2312" w:eastAsia="楷体_GB2312" w:cs="楷体_GB2312"/>
          <w:color w:val="auto"/>
          <w:kern w:val="0"/>
          <w:sz w:val="24"/>
          <w:szCs w:val="24"/>
          <w:shd w:val="clear" w:color="auto" w:fill="FFFFFF"/>
          <w:lang w:val="en-US" w:eastAsia="zh-CN" w:bidi="ar-SA"/>
        </w:rPr>
        <w:t>学费标准按照《山东省发展和改革委员会 山东省财政厅 山东省教育厅关于规范完善高校学费收费政策的通知》(鲁发改价格〔2023〕559号)文件执行。退费按照国家和省相关规定执行。</w:t>
      </w:r>
    </w:p>
    <w:p w14:paraId="69786B2D">
      <w:pPr>
        <w:widowControl/>
        <w:spacing w:line="360" w:lineRule="auto"/>
        <w:jc w:val="left"/>
        <w:rPr>
          <w:rStyle w:val="11"/>
          <w:rFonts w:ascii="楷体_GB2312" w:hAnsi="楷体_GB2312" w:eastAsia="楷体_GB2312" w:cs="楷体_GB2312"/>
          <w:bCs/>
          <w:color w:val="auto"/>
          <w:spacing w:val="8"/>
          <w:kern w:val="0"/>
          <w:sz w:val="24"/>
          <w:szCs w:val="24"/>
          <w:highlight w:val="none"/>
          <w:shd w:val="clear" w:color="auto" w:fill="FFFFFF"/>
          <w:lang w:bidi="ar"/>
        </w:rPr>
      </w:pPr>
      <w:bookmarkStart w:id="3" w:name="_Toc35345012"/>
      <w:r>
        <w:rPr>
          <w:rStyle w:val="11"/>
          <w:rFonts w:hint="eastAsia" w:ascii="楷体_GB2312" w:hAnsi="楷体_GB2312" w:eastAsia="楷体_GB2312" w:cs="楷体_GB2312"/>
          <w:bCs/>
          <w:color w:val="auto"/>
          <w:spacing w:val="8"/>
          <w:kern w:val="0"/>
          <w:sz w:val="24"/>
          <w:szCs w:val="24"/>
          <w:shd w:val="clear" w:color="auto" w:fill="FFFFFF"/>
          <w:lang w:bidi="ar"/>
        </w:rPr>
        <w:t>十</w:t>
      </w:r>
      <w:r>
        <w:rPr>
          <w:rStyle w:val="11"/>
          <w:rFonts w:hint="eastAsia" w:ascii="楷体_GB2312" w:hAnsi="楷体_GB2312" w:eastAsia="楷体_GB2312" w:cs="楷体_GB2312"/>
          <w:bCs/>
          <w:color w:val="auto"/>
          <w:spacing w:val="8"/>
          <w:kern w:val="0"/>
          <w:sz w:val="24"/>
          <w:szCs w:val="24"/>
          <w:highlight w:val="none"/>
          <w:shd w:val="clear" w:color="auto" w:fill="FFFFFF"/>
          <w:lang w:bidi="ar"/>
        </w:rPr>
        <w:t>二、联系方式</w:t>
      </w:r>
      <w:bookmarkEnd w:id="3"/>
    </w:p>
    <w:p w14:paraId="75509B0D">
      <w:pPr>
        <w:pStyle w:val="7"/>
        <w:widowControl/>
        <w:spacing w:beforeAutospacing="0" w:afterAutospacing="0" w:line="360" w:lineRule="auto"/>
        <w:ind w:firstLine="480" w:firstLineChars="200"/>
        <w:jc w:val="both"/>
        <w:rPr>
          <w:rFonts w:hint="default" w:ascii="楷体_GB2312" w:hAnsi="楷体_GB2312" w:eastAsia="楷体_GB2312" w:cs="楷体_GB2312"/>
          <w:color w:val="auto"/>
          <w:highlight w:val="none"/>
          <w:shd w:val="clear" w:color="auto" w:fill="FFFFFF"/>
          <w:lang w:val="en-US" w:eastAsia="zh-CN"/>
        </w:rPr>
      </w:pPr>
      <w:r>
        <w:rPr>
          <w:rFonts w:hint="eastAsia" w:ascii="楷体_GB2312" w:hAnsi="楷体_GB2312" w:eastAsia="楷体_GB2312" w:cs="楷体_GB2312"/>
          <w:color w:val="auto"/>
          <w:highlight w:val="none"/>
          <w:shd w:val="clear" w:color="auto" w:fill="FFFFFF"/>
          <w:lang w:val="en-US" w:eastAsia="zh-CN"/>
        </w:rPr>
        <w:t>专业联系人：丁凤伟      18866858231</w:t>
      </w:r>
    </w:p>
    <w:p w14:paraId="546C4F8A">
      <w:pPr>
        <w:pStyle w:val="7"/>
        <w:widowControl/>
        <w:spacing w:beforeAutospacing="0" w:afterAutospacing="0" w:line="360" w:lineRule="auto"/>
        <w:ind w:firstLine="480" w:firstLineChars="200"/>
        <w:jc w:val="both"/>
        <w:rPr>
          <w:color w:val="auto"/>
        </w:rPr>
      </w:pPr>
      <w:r>
        <w:rPr>
          <w:rFonts w:hint="eastAsia" w:ascii="楷体_GB2312" w:hAnsi="楷体_GB2312" w:eastAsia="楷体_GB2312" w:cs="楷体_GB2312"/>
          <w:color w:val="auto"/>
          <w:shd w:val="clear" w:color="auto" w:fill="FFFFFF"/>
          <w:lang w:val="en-US" w:eastAsia="zh-CN"/>
        </w:rPr>
        <w:t>招生咨询电话：（0531）58164412、59532205、59822206</w:t>
      </w:r>
    </w:p>
    <w:sectPr>
      <w:pgSz w:w="11906" w:h="16838"/>
      <w:pgMar w:top="1417" w:right="1417" w:bottom="1417" w:left="141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panose1 w:val="02010609030101010101"/>
    <w:charset w:val="86"/>
    <w:family w:val="auto"/>
    <w:pitch w:val="default"/>
    <w:sig w:usb0="00000001" w:usb1="080E0000" w:usb2="00000000" w:usb3="00000000" w:csb0="00040000" w:csb1="00000000"/>
  </w:font>
  <w:font w:name="Microsoft YaHei UI">
    <w:panose1 w:val="020B0503020204020204"/>
    <w:charset w:val="86"/>
    <w:family w:val="swiss"/>
    <w:pitch w:val="default"/>
    <w:sig w:usb0="80000287" w:usb1="2ACF3C50" w:usb2="00000016" w:usb3="00000000" w:csb0="0004001F"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JmYzNjMGRiYjUwMzUyMDFlZmU4MjA0MGYzMjc1ZmIifQ=="/>
  </w:docVars>
  <w:rsids>
    <w:rsidRoot w:val="00A74776"/>
    <w:rsid w:val="00014EF0"/>
    <w:rsid w:val="001147D0"/>
    <w:rsid w:val="00165FFB"/>
    <w:rsid w:val="00170902"/>
    <w:rsid w:val="004A3F04"/>
    <w:rsid w:val="004B6924"/>
    <w:rsid w:val="004F071A"/>
    <w:rsid w:val="0054240F"/>
    <w:rsid w:val="005C5737"/>
    <w:rsid w:val="005F6625"/>
    <w:rsid w:val="00692077"/>
    <w:rsid w:val="006E106C"/>
    <w:rsid w:val="007E0CC8"/>
    <w:rsid w:val="00875542"/>
    <w:rsid w:val="00886EAE"/>
    <w:rsid w:val="00902A95"/>
    <w:rsid w:val="0099390A"/>
    <w:rsid w:val="009A0360"/>
    <w:rsid w:val="00A15213"/>
    <w:rsid w:val="00A52E8D"/>
    <w:rsid w:val="00A5457C"/>
    <w:rsid w:val="00A74776"/>
    <w:rsid w:val="00A84C9B"/>
    <w:rsid w:val="00C4682D"/>
    <w:rsid w:val="00CA715E"/>
    <w:rsid w:val="00D66397"/>
    <w:rsid w:val="00F25EBD"/>
    <w:rsid w:val="00FB48DA"/>
    <w:rsid w:val="0195281C"/>
    <w:rsid w:val="035B3F7B"/>
    <w:rsid w:val="036F3883"/>
    <w:rsid w:val="03C424A7"/>
    <w:rsid w:val="04B002DD"/>
    <w:rsid w:val="051676DA"/>
    <w:rsid w:val="069F3AB3"/>
    <w:rsid w:val="078235DA"/>
    <w:rsid w:val="07BF65C3"/>
    <w:rsid w:val="099A1B4F"/>
    <w:rsid w:val="0B7B6813"/>
    <w:rsid w:val="0CB13FC5"/>
    <w:rsid w:val="0D607713"/>
    <w:rsid w:val="0DA63A8D"/>
    <w:rsid w:val="0F271E7F"/>
    <w:rsid w:val="154124DF"/>
    <w:rsid w:val="15DC6A87"/>
    <w:rsid w:val="164E31A5"/>
    <w:rsid w:val="17E14093"/>
    <w:rsid w:val="1A1E2197"/>
    <w:rsid w:val="1AB10777"/>
    <w:rsid w:val="1C0540A5"/>
    <w:rsid w:val="1C5B0010"/>
    <w:rsid w:val="1C7B757A"/>
    <w:rsid w:val="1DD10C77"/>
    <w:rsid w:val="20117A56"/>
    <w:rsid w:val="238639E1"/>
    <w:rsid w:val="23AE6D9F"/>
    <w:rsid w:val="24773C85"/>
    <w:rsid w:val="24EF7670"/>
    <w:rsid w:val="25494FAA"/>
    <w:rsid w:val="263A1448"/>
    <w:rsid w:val="26595B95"/>
    <w:rsid w:val="26E054C2"/>
    <w:rsid w:val="27A13903"/>
    <w:rsid w:val="2ABE455D"/>
    <w:rsid w:val="2B4A7D15"/>
    <w:rsid w:val="2B960048"/>
    <w:rsid w:val="2D4948CC"/>
    <w:rsid w:val="2F096C37"/>
    <w:rsid w:val="2F34636C"/>
    <w:rsid w:val="30314FE0"/>
    <w:rsid w:val="30484AA2"/>
    <w:rsid w:val="30D836AE"/>
    <w:rsid w:val="30E97669"/>
    <w:rsid w:val="31552F50"/>
    <w:rsid w:val="31A021F3"/>
    <w:rsid w:val="31F80187"/>
    <w:rsid w:val="32C834EF"/>
    <w:rsid w:val="33811DDB"/>
    <w:rsid w:val="342444CB"/>
    <w:rsid w:val="36817C3F"/>
    <w:rsid w:val="370C33D6"/>
    <w:rsid w:val="37A67341"/>
    <w:rsid w:val="38E86458"/>
    <w:rsid w:val="3913222A"/>
    <w:rsid w:val="3AD3295B"/>
    <w:rsid w:val="3C1A0F22"/>
    <w:rsid w:val="3C55060C"/>
    <w:rsid w:val="3DF02037"/>
    <w:rsid w:val="3E532416"/>
    <w:rsid w:val="3FE6630A"/>
    <w:rsid w:val="401556A0"/>
    <w:rsid w:val="419C135A"/>
    <w:rsid w:val="426042E3"/>
    <w:rsid w:val="43280DFE"/>
    <w:rsid w:val="4497530B"/>
    <w:rsid w:val="45B1131F"/>
    <w:rsid w:val="4A5B4CDC"/>
    <w:rsid w:val="4B4465C6"/>
    <w:rsid w:val="4B477AD9"/>
    <w:rsid w:val="4B782B29"/>
    <w:rsid w:val="4BC44997"/>
    <w:rsid w:val="4C4F261E"/>
    <w:rsid w:val="4C681EB5"/>
    <w:rsid w:val="4F195517"/>
    <w:rsid w:val="4F634D40"/>
    <w:rsid w:val="4FF87CEE"/>
    <w:rsid w:val="503404A9"/>
    <w:rsid w:val="50AC438A"/>
    <w:rsid w:val="510225AA"/>
    <w:rsid w:val="51B56003"/>
    <w:rsid w:val="52711568"/>
    <w:rsid w:val="534D53DE"/>
    <w:rsid w:val="54C6043B"/>
    <w:rsid w:val="54E01549"/>
    <w:rsid w:val="567C04B4"/>
    <w:rsid w:val="57C10C1D"/>
    <w:rsid w:val="5883472B"/>
    <w:rsid w:val="58B61235"/>
    <w:rsid w:val="59C212A7"/>
    <w:rsid w:val="5A4B62FE"/>
    <w:rsid w:val="5A5365AD"/>
    <w:rsid w:val="5C814A76"/>
    <w:rsid w:val="5E9111AD"/>
    <w:rsid w:val="5ECE5CE0"/>
    <w:rsid w:val="5EF86A99"/>
    <w:rsid w:val="5F221B77"/>
    <w:rsid w:val="604B071A"/>
    <w:rsid w:val="605256D1"/>
    <w:rsid w:val="60970120"/>
    <w:rsid w:val="64467711"/>
    <w:rsid w:val="65702D9F"/>
    <w:rsid w:val="65B75CD2"/>
    <w:rsid w:val="66256220"/>
    <w:rsid w:val="665D4E3F"/>
    <w:rsid w:val="6714490B"/>
    <w:rsid w:val="67606039"/>
    <w:rsid w:val="68A10857"/>
    <w:rsid w:val="69A45561"/>
    <w:rsid w:val="69BB3F70"/>
    <w:rsid w:val="6AD05313"/>
    <w:rsid w:val="6B991B20"/>
    <w:rsid w:val="6BA55D11"/>
    <w:rsid w:val="6BE0669F"/>
    <w:rsid w:val="6CBA4774"/>
    <w:rsid w:val="6D293862"/>
    <w:rsid w:val="6DD05812"/>
    <w:rsid w:val="6F241A6D"/>
    <w:rsid w:val="70721CB9"/>
    <w:rsid w:val="716777EA"/>
    <w:rsid w:val="72DD3705"/>
    <w:rsid w:val="73341772"/>
    <w:rsid w:val="734B14EC"/>
    <w:rsid w:val="741108F1"/>
    <w:rsid w:val="77FD32D1"/>
    <w:rsid w:val="7A2C7EAB"/>
    <w:rsid w:val="7C6B6751"/>
    <w:rsid w:val="7DA00213"/>
    <w:rsid w:val="7EEB56F8"/>
    <w:rsid w:val="7F5939DB"/>
    <w:rsid w:val="7FB1762C"/>
    <w:rsid w:val="7FEE6B3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autoRedefine/>
    <w:qFormat/>
    <w:uiPriority w:val="9"/>
    <w:pPr>
      <w:keepNext/>
      <w:keepLines/>
      <w:spacing w:before="340" w:after="330" w:line="240" w:lineRule="exact"/>
      <w:outlineLvl w:val="0"/>
    </w:pPr>
    <w:rPr>
      <w:b/>
      <w:bCs/>
      <w:kern w:val="44"/>
      <w:sz w:val="44"/>
      <w:szCs w:val="44"/>
    </w:rPr>
  </w:style>
  <w:style w:type="paragraph" w:styleId="3">
    <w:name w:val="heading 2"/>
    <w:basedOn w:val="1"/>
    <w:next w:val="1"/>
    <w:semiHidden/>
    <w:unhideWhenUsed/>
    <w:qFormat/>
    <w:uiPriority w:val="0"/>
    <w:pPr>
      <w:spacing w:beforeAutospacing="1" w:afterAutospacing="1"/>
      <w:jc w:val="left"/>
      <w:outlineLvl w:val="1"/>
    </w:pPr>
    <w:rPr>
      <w:rFonts w:hint="eastAsia" w:ascii="宋体" w:hAnsi="宋体" w:eastAsia="宋体" w:cs="Times New Roman"/>
      <w:b/>
      <w:kern w:val="0"/>
      <w:sz w:val="36"/>
      <w:szCs w:val="36"/>
    </w:rPr>
  </w:style>
  <w:style w:type="character" w:default="1" w:styleId="10">
    <w:name w:val="Default Paragraph Font"/>
    <w:autoRedefine/>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4">
    <w:name w:val="Balloon Text"/>
    <w:basedOn w:val="1"/>
    <w:link w:val="14"/>
    <w:qFormat/>
    <w:uiPriority w:val="0"/>
    <w:rPr>
      <w:sz w:val="18"/>
      <w:szCs w:val="18"/>
    </w:rPr>
  </w:style>
  <w:style w:type="paragraph" w:styleId="5">
    <w:name w:val="footer"/>
    <w:basedOn w:val="1"/>
    <w:link w:val="16"/>
    <w:qFormat/>
    <w:uiPriority w:val="0"/>
    <w:pPr>
      <w:tabs>
        <w:tab w:val="center" w:pos="4153"/>
        <w:tab w:val="right" w:pos="8306"/>
      </w:tabs>
      <w:snapToGrid w:val="0"/>
      <w:jc w:val="left"/>
    </w:pPr>
    <w:rPr>
      <w:sz w:val="18"/>
      <w:szCs w:val="18"/>
    </w:rPr>
  </w:style>
  <w:style w:type="paragraph" w:styleId="6">
    <w:name w:val="header"/>
    <w:basedOn w:val="1"/>
    <w:link w:val="15"/>
    <w:qFormat/>
    <w:uiPriority w:val="0"/>
    <w:pPr>
      <w:pBdr>
        <w:bottom w:val="single" w:color="auto" w:sz="6" w:space="1"/>
      </w:pBdr>
      <w:tabs>
        <w:tab w:val="center" w:pos="4153"/>
        <w:tab w:val="right" w:pos="8306"/>
      </w:tabs>
      <w:snapToGrid w:val="0"/>
      <w:jc w:val="center"/>
    </w:pPr>
    <w:rPr>
      <w:sz w:val="18"/>
      <w:szCs w:val="18"/>
    </w:rPr>
  </w:style>
  <w:style w:type="paragraph" w:styleId="7">
    <w:name w:val="Normal (Web)"/>
    <w:basedOn w:val="1"/>
    <w:qFormat/>
    <w:uiPriority w:val="0"/>
    <w:pPr>
      <w:spacing w:beforeAutospacing="1" w:afterAutospacing="1"/>
      <w:jc w:val="left"/>
    </w:pPr>
    <w:rPr>
      <w:rFonts w:cs="Times New Roman"/>
      <w:kern w:val="0"/>
      <w:sz w:val="24"/>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0"/>
    <w:rPr>
      <w:b/>
    </w:rPr>
  </w:style>
  <w:style w:type="character" w:styleId="12">
    <w:name w:val="Emphasis"/>
    <w:basedOn w:val="10"/>
    <w:qFormat/>
    <w:uiPriority w:val="0"/>
    <w:rPr>
      <w:i/>
    </w:rPr>
  </w:style>
  <w:style w:type="character" w:styleId="13">
    <w:name w:val="Hyperlink"/>
    <w:basedOn w:val="10"/>
    <w:qFormat/>
    <w:uiPriority w:val="0"/>
    <w:rPr>
      <w:color w:val="0000FF"/>
      <w:u w:val="single"/>
    </w:rPr>
  </w:style>
  <w:style w:type="character" w:customStyle="1" w:styleId="14">
    <w:name w:val="批注框文本 Char"/>
    <w:basedOn w:val="10"/>
    <w:link w:val="4"/>
    <w:qFormat/>
    <w:uiPriority w:val="0"/>
    <w:rPr>
      <w:rFonts w:asciiTheme="minorHAnsi" w:hAnsiTheme="minorHAnsi" w:eastAsiaTheme="minorEastAsia" w:cstheme="minorBidi"/>
      <w:kern w:val="2"/>
      <w:sz w:val="18"/>
      <w:szCs w:val="18"/>
    </w:rPr>
  </w:style>
  <w:style w:type="character" w:customStyle="1" w:styleId="15">
    <w:name w:val="页眉 Char"/>
    <w:basedOn w:val="10"/>
    <w:link w:val="6"/>
    <w:autoRedefine/>
    <w:qFormat/>
    <w:uiPriority w:val="0"/>
    <w:rPr>
      <w:rFonts w:asciiTheme="minorHAnsi" w:hAnsiTheme="minorHAnsi" w:eastAsiaTheme="minorEastAsia" w:cstheme="minorBidi"/>
      <w:kern w:val="2"/>
      <w:sz w:val="18"/>
      <w:szCs w:val="18"/>
    </w:rPr>
  </w:style>
  <w:style w:type="character" w:customStyle="1" w:styleId="16">
    <w:name w:val="页脚 Char"/>
    <w:basedOn w:val="10"/>
    <w:link w:val="5"/>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1" Type="http://schemas.openxmlformats.org/officeDocument/2006/relationships/fontTable" Target="fontTable.xml"/><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8</Pages>
  <Words>3516</Words>
  <Characters>3634</Characters>
  <Lines>29</Lines>
  <Paragraphs>8</Paragraphs>
  <TotalTime>0</TotalTime>
  <ScaleCrop>false</ScaleCrop>
  <LinksUpToDate>false</LinksUpToDate>
  <CharactersWithSpaces>3649</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2020-07-17T01:12:00Z</dcterms:created>
  <dc:creator>Administrator</dc:creator>
  <cp:lastModifiedBy>sky</cp:lastModifiedBy>
  <dcterms:modified xsi:type="dcterms:W3CDTF">2025-04-06T13:52:19Z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F5B5778251D54BB984D4A6E3C94E602C_13</vt:lpwstr>
  </property>
  <property fmtid="{D5CDD505-2E9C-101B-9397-08002B2CF9AE}" pid="4" name="commondata">
    <vt:lpwstr>eyJoZGlkIjoiNWM5MzYzN2MyMGUzMWY4OTQ4YjhhMzA4MTk5YTE3ZDQifQ==</vt:lpwstr>
  </property>
  <property fmtid="{D5CDD505-2E9C-101B-9397-08002B2CF9AE}" pid="5" name="KSOTemplateDocerSaveRecord">
    <vt:lpwstr>eyJoZGlkIjoiNWYzOWY0YmJhMzcwNjIxNDlkMTFmNmRhOGE4MWZmNjAiLCJ1c2VySWQiOiI1OTI0OTg3MjkifQ==</vt:lpwstr>
  </property>
</Properties>
</file>