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A78E65">
      <w:pPr>
        <w:jc w:val="center"/>
        <w:rPr>
          <w:rFonts w:hint="eastAsia" w:ascii="楷体_GB2312" w:hAnsi="楷体_GB2312" w:eastAsia="楷体_GB2312" w:cs="楷体_GB2312"/>
          <w:b/>
          <w:bCs w:val="0"/>
          <w:color w:val="auto"/>
          <w:spacing w:val="8"/>
          <w:kern w:val="0"/>
          <w:sz w:val="36"/>
          <w:szCs w:val="36"/>
          <w:shd w:val="clear" w:color="auto" w:fill="FFFFFF"/>
          <w:lang w:val="en-US" w:eastAsia="zh-CN" w:bidi="ar-SA"/>
        </w:rPr>
      </w:pPr>
      <w:r>
        <w:rPr>
          <w:rFonts w:hint="eastAsia" w:ascii="楷体_GB2312" w:hAnsi="楷体_GB2312" w:eastAsia="楷体_GB2312" w:cs="楷体_GB2312"/>
          <w:b/>
          <w:bCs w:val="0"/>
          <w:color w:val="auto"/>
          <w:spacing w:val="8"/>
          <w:kern w:val="0"/>
          <w:sz w:val="36"/>
          <w:szCs w:val="36"/>
          <w:shd w:val="clear" w:color="auto" w:fill="FFFFFF"/>
          <w:lang w:val="en-US" w:eastAsia="zh-CN" w:bidi="ar-SA"/>
        </w:rPr>
        <w:t>药品经营与管理专业深度解读</w:t>
      </w:r>
    </w:p>
    <w:p w14:paraId="1F183209">
      <w:pPr>
        <w:widowControl/>
        <w:spacing w:line="360" w:lineRule="auto"/>
        <w:jc w:val="left"/>
        <w:rPr>
          <w:rStyle w:val="10"/>
          <w:rFonts w:hint="eastAsia" w:ascii="楷体_GB2312" w:hAnsi="楷体_GB2312" w:eastAsia="楷体_GB2312" w:cs="楷体_GB2312"/>
          <w:bCs/>
          <w:color w:val="auto"/>
          <w:spacing w:val="8"/>
          <w:kern w:val="0"/>
          <w:sz w:val="24"/>
          <w:szCs w:val="24"/>
          <w:shd w:val="clear" w:color="auto" w:fill="FFFFFF"/>
          <w:lang w:val="en-US" w:eastAsia="zh-CN" w:bidi="ar"/>
        </w:rPr>
      </w:pPr>
    </w:p>
    <w:p w14:paraId="3C6C97F3">
      <w:pPr>
        <w:widowControl/>
        <w:spacing w:line="360" w:lineRule="auto"/>
        <w:jc w:val="left"/>
        <w:rPr>
          <w:rStyle w:val="10"/>
          <w:rFonts w:hint="eastAsia"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val="en-US" w:eastAsia="zh-CN" w:bidi="ar"/>
        </w:rPr>
        <w:t>一、</w:t>
      </w:r>
      <w:r>
        <w:rPr>
          <w:rStyle w:val="10"/>
          <w:rFonts w:hint="eastAsia" w:ascii="楷体_GB2312" w:hAnsi="楷体_GB2312" w:eastAsia="楷体_GB2312" w:cs="楷体_GB2312"/>
          <w:bCs/>
          <w:color w:val="auto"/>
          <w:spacing w:val="8"/>
          <w:kern w:val="0"/>
          <w:sz w:val="24"/>
          <w:szCs w:val="24"/>
          <w:shd w:val="clear" w:color="auto" w:fill="FFFFFF"/>
          <w:lang w:eastAsia="zh-CN" w:bidi="ar"/>
        </w:rPr>
        <w:t>培养目标</w:t>
      </w:r>
    </w:p>
    <w:p w14:paraId="4345AC8A">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本专业坚持立德树人、德技并修，面向医药生产、批发、零售、使用等行业企业，培养理想信念坚定，从事药师、医药代表、互联网营销师S、医药商品购销员、健康管理师、物流服务师L等工作岗位，掌握医学基础、药理、药物制剂等医药学基础理论知识，医药市场营销、医药企业管理等经营管理相关理论知识，以及药品管理法、药品经营质量管理规范等与本专业相关的法律法规知识、具备人文素养、科学素养、数字素养、职业道德、创新意识，爱岗敬业的职业精神和精益求精的工匠精神，较强的就业创业能力和可持续发展的能力，德、智、体、美、劳全面发展的高技能人才。</w:t>
      </w:r>
    </w:p>
    <w:p w14:paraId="71949F0F">
      <w:pPr>
        <w:widowControl/>
        <w:spacing w:line="360" w:lineRule="auto"/>
        <w:jc w:val="left"/>
        <w:rPr>
          <w:rStyle w:val="10"/>
          <w:rFonts w:hint="eastAsia"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val="en-US" w:eastAsia="zh-CN" w:bidi="ar"/>
        </w:rPr>
        <w:t>二、</w:t>
      </w:r>
      <w:r>
        <w:rPr>
          <w:rStyle w:val="10"/>
          <w:rFonts w:hint="eastAsia" w:ascii="楷体_GB2312" w:hAnsi="楷体_GB2312" w:eastAsia="楷体_GB2312" w:cs="楷体_GB2312"/>
          <w:bCs/>
          <w:color w:val="auto"/>
          <w:spacing w:val="8"/>
          <w:kern w:val="0"/>
          <w:sz w:val="24"/>
          <w:szCs w:val="24"/>
          <w:shd w:val="clear" w:color="auto" w:fill="FFFFFF"/>
          <w:lang w:eastAsia="zh-CN" w:bidi="ar"/>
        </w:rPr>
        <w:t>师资力量</w:t>
      </w:r>
    </w:p>
    <w:p w14:paraId="3E32DE2A">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heme="minorEastAsia" w:hAnsiTheme="minorEastAsia" w:eastAsiaTheme="minorEastAsia" w:cstheme="minorEastAsia"/>
          <w:b/>
          <w:bCs/>
          <w:color w:val="auto"/>
          <w:sz w:val="24"/>
          <w:szCs w:val="24"/>
          <w:lang w:val="en-US" w:eastAsia="zh-CN"/>
        </w:rPr>
      </w:pPr>
      <w:r>
        <w:rPr>
          <w:rFonts w:hint="eastAsia" w:ascii="楷体_GB2312" w:hAnsi="楷体_GB2312" w:eastAsia="楷体_GB2312" w:cs="楷体_GB2312"/>
          <w:color w:val="auto"/>
          <w:kern w:val="0"/>
          <w:sz w:val="24"/>
          <w:szCs w:val="24"/>
          <w:shd w:val="clear" w:color="auto" w:fill="FFFFFF"/>
          <w:lang w:val="en-US" w:eastAsia="zh-CN" w:bidi="ar-SA"/>
        </w:rPr>
        <w:t>现有专业教师9人，其中教授1人、副教授2人、中级职称4人，硕士及以上学历9人，形成了一支师资力量雄厚、结构合理、年轻精干、富有激情的双师型教学团队。主持省级精品课程1门，校级精品课程2门；主持或参与各级科研课题7项；多人次参编“十三五”“十四五”规划教材；发表论文20余篇</w:t>
      </w:r>
      <w:r>
        <w:rPr>
          <w:rFonts w:hint="eastAsia" w:asciiTheme="minorEastAsia" w:hAnsiTheme="minorEastAsia" w:eastAsiaTheme="minorEastAsia" w:cstheme="minorEastAsia"/>
          <w:sz w:val="24"/>
          <w:szCs w:val="24"/>
          <w:lang w:val="en-US" w:eastAsia="zh-CN"/>
        </w:rPr>
        <w:t>。</w:t>
      </w:r>
    </w:p>
    <w:p w14:paraId="40867491">
      <w:pPr>
        <w:pStyle w:val="11"/>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sz w:val="24"/>
          <w:szCs w:val="24"/>
          <w:lang w:val="en-US" w:eastAsia="zh-CN"/>
        </w:rPr>
        <w:drawing>
          <wp:inline distT="0" distB="0" distL="114300" distR="114300">
            <wp:extent cx="5231130" cy="3565525"/>
            <wp:effectExtent l="0" t="0" r="7620" b="15875"/>
            <wp:docPr id="5" name="图片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
                    <pic:cNvPicPr>
                      <a:picLocks noChangeAspect="1"/>
                    </pic:cNvPicPr>
                  </pic:nvPicPr>
                  <pic:blipFill>
                    <a:blip r:embed="rId4"/>
                    <a:stretch>
                      <a:fillRect/>
                    </a:stretch>
                  </pic:blipFill>
                  <pic:spPr>
                    <a:xfrm>
                      <a:off x="0" y="0"/>
                      <a:ext cx="5231130" cy="3565525"/>
                    </a:xfrm>
                    <a:prstGeom prst="rect">
                      <a:avLst/>
                    </a:prstGeom>
                  </pic:spPr>
                </pic:pic>
              </a:graphicData>
            </a:graphic>
          </wp:inline>
        </w:drawing>
      </w:r>
    </w:p>
    <w:p w14:paraId="34D16124">
      <w:pPr>
        <w:widowControl/>
        <w:spacing w:line="360" w:lineRule="auto"/>
        <w:jc w:val="left"/>
        <w:rPr>
          <w:rStyle w:val="10"/>
          <w:rFonts w:hint="eastAsia"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val="en-US" w:eastAsia="zh-CN" w:bidi="ar"/>
        </w:rPr>
        <w:t>三、</w:t>
      </w:r>
      <w:r>
        <w:rPr>
          <w:rStyle w:val="10"/>
          <w:rFonts w:hint="eastAsia" w:ascii="楷体_GB2312" w:hAnsi="楷体_GB2312" w:eastAsia="楷体_GB2312" w:cs="楷体_GB2312"/>
          <w:bCs/>
          <w:color w:val="auto"/>
          <w:spacing w:val="8"/>
          <w:kern w:val="0"/>
          <w:sz w:val="24"/>
          <w:szCs w:val="24"/>
          <w:shd w:val="clear" w:color="auto" w:fill="FFFFFF"/>
          <w:lang w:eastAsia="zh-CN" w:bidi="ar"/>
        </w:rPr>
        <w:t>专业特色</w:t>
      </w:r>
    </w:p>
    <w:p w14:paraId="7FD2D6BC">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（一）学科交叉融合</w:t>
      </w:r>
    </w:p>
    <w:p w14:paraId="362BE8E6">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1.医药学与经营管理结合：课程体系涵盖医学基础、药理学、药物制剂等医药学核心知识，同时融入医药市场营销、企业管理、电子商务等经营管理内容，培养兼具医药专业素养和商业运营能力的复合型人才。</w:t>
      </w:r>
    </w:p>
    <w:p w14:paraId="51C0FCDE">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2.法律法规与行业规范并重：强调《中华人民共和国药品管理法》《药品经营质量管理规范》</w:t>
      </w:r>
      <w:r>
        <w:rPr>
          <w:rFonts w:hint="default" w:ascii="Times New Roman" w:hAnsi="Times New Roman" w:eastAsia="楷体_GB2312" w:cs="Times New Roman"/>
          <w:color w:val="auto"/>
          <w:kern w:val="0"/>
          <w:sz w:val="24"/>
          <w:szCs w:val="24"/>
          <w:shd w:val="clear" w:color="auto" w:fill="FFFFFF"/>
          <w:lang w:val="en-US" w:eastAsia="zh-CN" w:bidi="ar-SA"/>
        </w:rPr>
        <w:t>（GSP）</w:t>
      </w:r>
      <w:r>
        <w:rPr>
          <w:rFonts w:hint="eastAsia" w:ascii="楷体_GB2312" w:hAnsi="楷体_GB2312" w:eastAsia="楷体_GB2312" w:cs="楷体_GB2312"/>
          <w:color w:val="auto"/>
          <w:kern w:val="0"/>
          <w:sz w:val="24"/>
          <w:szCs w:val="24"/>
          <w:shd w:val="clear" w:color="auto" w:fill="FFFFFF"/>
          <w:lang w:val="en-US" w:eastAsia="zh-CN" w:bidi="ar-SA"/>
        </w:rPr>
        <w:t>等法规的实践应用，确保学生熟悉医药经营领域的合规化操作。</w:t>
      </w:r>
    </w:p>
    <w:p w14:paraId="792C961E">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（二）实践技能导向</w:t>
      </w:r>
    </w:p>
    <w:p w14:paraId="15EE6E0B">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1.实训场景高度仿真：设置模拟大药房、GSP仿真实训室、营销沙盘等实训室，模拟药品采购、验收、储存、销售等全流程操作，强化岗位核心技能。</w:t>
      </w:r>
    </w:p>
    <w:p w14:paraId="453C49D4">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2.实践学时占比高：实践性教学占总学时的50%以上，实习时间累计6个月，覆盖医药批发、零售、医疗机构等真实职业场景，注重“工学结合”。</w:t>
      </w:r>
    </w:p>
    <w:p w14:paraId="4646E116">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（三）数字化与智能化转型</w:t>
      </w:r>
    </w:p>
    <w:p w14:paraId="3305D276">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1.紧跟行业趋势：课程融入医药电子商务、O2O新零售、大数据分析等内容，培养适应医药经营领域信息化、智能化发展的数字技能。</w:t>
      </w:r>
    </w:p>
    <w:p w14:paraId="147F3411">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2.前沿技术应用：实训中引入虚拟仿真、人工智能等技术，提升学生运用新技术解决实际问题的能力。</w:t>
      </w:r>
    </w:p>
    <w:p w14:paraId="752C9019">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（四）行业对接与校企协同</w:t>
      </w:r>
    </w:p>
    <w:p w14:paraId="36BFB664">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1.职业面向明确：医药生产、医药经营、医药电商平台等行业企业的药师、医药代表、互联网营销师、医药商品购销员、健康管理师、物流服务师等。</w:t>
      </w:r>
    </w:p>
    <w:p w14:paraId="22F2B14F">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2.校企深度合作：校企双平台育人，校企双主体优势互补，共同发力。在课程、师资及实践基地等方面实施双向参与、双向服务、双向受益，实现学院人才培养与企业发展同频共振，依托企业实习基地，聘请行业导师参与教学，确保教学内容与行业需求同步更新，实现“产教融合”。</w:t>
      </w:r>
    </w:p>
    <w:p w14:paraId="2E9839C0">
      <w:pPr>
        <w:widowControl/>
        <w:spacing w:line="360" w:lineRule="auto"/>
        <w:jc w:val="left"/>
        <w:rPr>
          <w:rStyle w:val="10"/>
          <w:rFonts w:hint="eastAsia"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val="en-US" w:eastAsia="zh-CN" w:bidi="ar"/>
        </w:rPr>
        <w:t>四、</w:t>
      </w:r>
      <w:r>
        <w:rPr>
          <w:rStyle w:val="10"/>
          <w:rFonts w:hint="eastAsia" w:ascii="楷体_GB2312" w:hAnsi="楷体_GB2312" w:eastAsia="楷体_GB2312" w:cs="楷体_GB2312"/>
          <w:bCs/>
          <w:color w:val="auto"/>
          <w:spacing w:val="8"/>
          <w:kern w:val="0"/>
          <w:sz w:val="24"/>
          <w:szCs w:val="24"/>
          <w:shd w:val="clear" w:color="auto" w:fill="FFFFFF"/>
          <w:lang w:eastAsia="zh-CN" w:bidi="ar"/>
        </w:rPr>
        <w:t>课程设置及考取证书情况</w:t>
      </w:r>
    </w:p>
    <w:p w14:paraId="6669AC10">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（一）课程设置</w:t>
      </w:r>
    </w:p>
    <w:p w14:paraId="7AA77910">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针对学生实际情况，公共课开设有公共必修课和选修课，立足学生基本素养的培养。同时开设有</w:t>
      </w:r>
      <w:r>
        <w:rPr>
          <w:rFonts w:hint="default" w:ascii="楷体_GB2312" w:hAnsi="楷体_GB2312" w:eastAsia="楷体_GB2312" w:cs="楷体_GB2312"/>
          <w:color w:val="auto"/>
          <w:kern w:val="0"/>
          <w:sz w:val="24"/>
          <w:szCs w:val="24"/>
          <w:shd w:val="clear" w:color="auto" w:fill="FFFFFF"/>
          <w:lang w:val="en-US" w:eastAsia="zh-CN" w:bidi="ar-SA"/>
        </w:rPr>
        <w:t>高等数学、大学语文</w:t>
      </w:r>
      <w:r>
        <w:rPr>
          <w:rFonts w:hint="eastAsia" w:ascii="楷体_GB2312" w:hAnsi="楷体_GB2312" w:eastAsia="楷体_GB2312" w:cs="楷体_GB2312"/>
          <w:color w:val="auto"/>
          <w:kern w:val="0"/>
          <w:sz w:val="24"/>
          <w:szCs w:val="24"/>
          <w:shd w:val="clear" w:color="auto" w:fill="FFFFFF"/>
          <w:lang w:val="en-US" w:eastAsia="zh-CN" w:bidi="ar-SA"/>
        </w:rPr>
        <w:t>，为学生升学打下坚实基础。专业课开设有专业必修课、专业选修课。本专业开设专业必修课17门，致力于专业知识和技能的提升，专业限选修课10门，作为专业知识与技能的延伸与拓展。通过合理的专业课程设置，为学生选择不同的就业方向提供支持</w:t>
      </w:r>
      <w:r>
        <w:rPr>
          <w:rFonts w:hint="default" w:ascii="楷体_GB2312" w:hAnsi="楷体_GB2312" w:eastAsia="楷体_GB2312" w:cs="楷体_GB2312"/>
          <w:color w:val="auto"/>
          <w:kern w:val="0"/>
          <w:sz w:val="24"/>
          <w:szCs w:val="24"/>
          <w:shd w:val="clear" w:color="auto" w:fill="FFFFFF"/>
          <w:lang w:val="en-US" w:eastAsia="zh-CN" w:bidi="ar-SA"/>
        </w:rPr>
        <w:t>。</w:t>
      </w:r>
    </w:p>
    <w:p w14:paraId="67F1C7A2">
      <w:pPr>
        <w:widowControl/>
        <w:numPr>
          <w:ilvl w:val="0"/>
          <w:numId w:val="0"/>
        </w:numPr>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（二）证书考取情况</w:t>
      </w:r>
    </w:p>
    <w:p w14:paraId="719E3988">
      <w:pPr>
        <w:widowControl/>
        <w:numPr>
          <w:ilvl w:val="0"/>
          <w:numId w:val="0"/>
        </w:numPr>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我院是教育部“1+X”药品购销和药物制剂生产职业技能等级证书（中级）试点院校，在实习前组织学生参加药品购销、药物制剂生产等职业技能等级证书的考取</w:t>
      </w:r>
      <w:r>
        <w:rPr>
          <w:rFonts w:hint="eastAsia" w:ascii="楷体_GB2312" w:hAnsi="楷体_GB2312" w:eastAsia="楷体_GB2312" w:cs="楷体_GB2312"/>
          <w:color w:val="auto"/>
          <w:kern w:val="0"/>
          <w:sz w:val="24"/>
          <w:szCs w:val="24"/>
          <w:shd w:val="clear" w:color="auto" w:fill="FFFFFF"/>
          <w:lang w:val="en-US" w:eastAsia="zh-CN" w:bidi="ar-SA"/>
        </w:rPr>
        <w:t>。</w:t>
      </w:r>
    </w:p>
    <w:p w14:paraId="52E490DA">
      <w:pPr>
        <w:widowControl/>
        <w:spacing w:line="360" w:lineRule="auto"/>
        <w:jc w:val="left"/>
        <w:rPr>
          <w:rStyle w:val="10"/>
          <w:rFonts w:hint="eastAsia"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val="en-US" w:eastAsia="zh-CN" w:bidi="ar"/>
        </w:rPr>
        <w:t>五、</w:t>
      </w:r>
      <w:r>
        <w:rPr>
          <w:rStyle w:val="10"/>
          <w:rFonts w:hint="eastAsia" w:ascii="楷体_GB2312" w:hAnsi="楷体_GB2312" w:eastAsia="楷体_GB2312" w:cs="楷体_GB2312"/>
          <w:bCs/>
          <w:color w:val="auto"/>
          <w:spacing w:val="8"/>
          <w:kern w:val="0"/>
          <w:sz w:val="24"/>
          <w:szCs w:val="24"/>
          <w:shd w:val="clear" w:color="auto" w:fill="FFFFFF"/>
          <w:lang w:eastAsia="zh-CN" w:bidi="ar"/>
        </w:rPr>
        <w:t>实训条件</w:t>
      </w:r>
    </w:p>
    <w:p w14:paraId="0BE5256A">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（一）校内实训条件</w:t>
      </w:r>
    </w:p>
    <w:p w14:paraId="1CEA9470">
      <w:pPr>
        <w:widowControl/>
        <w:spacing w:line="360" w:lineRule="auto"/>
        <w:ind w:firstLine="480" w:firstLineChars="200"/>
        <w:jc w:val="left"/>
        <w:rPr>
          <w:rFonts w:hint="default" w:ascii="楷体_GB2312" w:hAnsi="楷体_GB2312" w:eastAsia="楷体_GB2312" w:cs="楷体_GB2312"/>
          <w:color w:val="auto"/>
          <w:kern w:val="0"/>
          <w:sz w:val="24"/>
          <w:szCs w:val="24"/>
          <w:shd w:val="clear" w:color="auto" w:fill="FFFFFF"/>
          <w:lang w:val="en-US" w:eastAsia="zh-CN" w:bidi="ar-SA"/>
        </w:rPr>
      </w:pPr>
      <w:r>
        <w:rPr>
          <w:rFonts w:hint="default" w:ascii="楷体_GB2312" w:hAnsi="楷体_GB2312" w:eastAsia="楷体_GB2312" w:cs="楷体_GB2312"/>
          <w:color w:val="auto"/>
          <w:kern w:val="0"/>
          <w:sz w:val="24"/>
          <w:szCs w:val="24"/>
          <w:shd w:val="clear" w:color="auto" w:fill="FFFFFF"/>
          <w:lang w:val="en-US" w:eastAsia="zh-CN" w:bidi="ar-SA"/>
        </w:rPr>
        <w:t>校内实训基地总面积达</w:t>
      </w:r>
      <w:r>
        <w:rPr>
          <w:rFonts w:hint="eastAsia" w:ascii="楷体_GB2312" w:hAnsi="楷体_GB2312" w:eastAsia="楷体_GB2312" w:cs="楷体_GB2312"/>
          <w:color w:val="auto"/>
          <w:kern w:val="0"/>
          <w:sz w:val="24"/>
          <w:szCs w:val="24"/>
          <w:shd w:val="clear" w:color="auto" w:fill="FFFFFF"/>
          <w:lang w:val="en-US" w:eastAsia="zh-CN" w:bidi="ar-SA"/>
        </w:rPr>
        <w:t>800</w:t>
      </w:r>
      <w:r>
        <w:rPr>
          <w:rFonts w:hint="default" w:ascii="楷体_GB2312" w:hAnsi="楷体_GB2312" w:eastAsia="楷体_GB2312" w:cs="楷体_GB2312"/>
          <w:color w:val="auto"/>
          <w:kern w:val="0"/>
          <w:sz w:val="24"/>
          <w:szCs w:val="24"/>
          <w:shd w:val="clear" w:color="auto" w:fill="FFFFFF"/>
          <w:lang w:val="en-US" w:eastAsia="zh-CN" w:bidi="ar-SA"/>
        </w:rPr>
        <w:t>平方米，配备仪器设备总价值</w:t>
      </w:r>
      <w:r>
        <w:rPr>
          <w:rFonts w:hint="eastAsia" w:ascii="楷体_GB2312" w:hAnsi="楷体_GB2312" w:eastAsia="楷体_GB2312" w:cs="楷体_GB2312"/>
          <w:color w:val="auto"/>
          <w:kern w:val="0"/>
          <w:sz w:val="24"/>
          <w:szCs w:val="24"/>
          <w:shd w:val="clear" w:color="auto" w:fill="FFFFFF"/>
          <w:lang w:val="en-US" w:eastAsia="zh-CN" w:bidi="ar-SA"/>
        </w:rPr>
        <w:t>230</w:t>
      </w:r>
      <w:r>
        <w:rPr>
          <w:rFonts w:hint="default" w:ascii="楷体_GB2312" w:hAnsi="楷体_GB2312" w:eastAsia="楷体_GB2312" w:cs="楷体_GB2312"/>
          <w:color w:val="auto"/>
          <w:kern w:val="0"/>
          <w:sz w:val="24"/>
          <w:szCs w:val="24"/>
          <w:shd w:val="clear" w:color="auto" w:fill="FFFFFF"/>
          <w:lang w:val="en-US" w:eastAsia="zh-CN" w:bidi="ar-SA"/>
        </w:rPr>
        <w:t>余万元。</w:t>
      </w:r>
      <w:r>
        <w:rPr>
          <w:rFonts w:hint="eastAsia" w:ascii="楷体_GB2312" w:hAnsi="楷体_GB2312" w:eastAsia="楷体_GB2312" w:cs="楷体_GB2312"/>
          <w:color w:val="auto"/>
          <w:kern w:val="0"/>
          <w:sz w:val="24"/>
          <w:szCs w:val="24"/>
          <w:shd w:val="clear" w:color="auto" w:fill="FFFFFF"/>
          <w:lang w:val="en-US" w:eastAsia="zh-CN" w:bidi="ar-SA"/>
        </w:rPr>
        <w:t>专业职业技能实训室设有智慧医药健康实训室、互联网医疗咨询室、方成大药房、电子商务实训室、药品购销实训室（洽谈室）、处方药销售实训室、药品储存养护实训室、虚拟仿真实训室等，</w:t>
      </w:r>
      <w:r>
        <w:rPr>
          <w:rFonts w:hint="default" w:ascii="楷体_GB2312" w:hAnsi="楷体_GB2312" w:eastAsia="楷体_GB2312" w:cs="楷体_GB2312"/>
          <w:color w:val="auto"/>
          <w:kern w:val="0"/>
          <w:sz w:val="24"/>
          <w:szCs w:val="24"/>
          <w:shd w:val="clear" w:color="auto" w:fill="FFFFFF"/>
          <w:lang w:val="en-US" w:eastAsia="zh-CN" w:bidi="ar-SA"/>
        </w:rPr>
        <w:t>为药品</w:t>
      </w:r>
      <w:r>
        <w:rPr>
          <w:rFonts w:hint="eastAsia" w:ascii="楷体_GB2312" w:hAnsi="楷体_GB2312" w:eastAsia="楷体_GB2312" w:cs="楷体_GB2312"/>
          <w:color w:val="auto"/>
          <w:kern w:val="0"/>
          <w:sz w:val="24"/>
          <w:szCs w:val="24"/>
          <w:shd w:val="clear" w:color="auto" w:fill="FFFFFF"/>
          <w:lang w:val="en-US" w:eastAsia="zh-CN" w:bidi="ar-SA"/>
        </w:rPr>
        <w:t>经营与管理</w:t>
      </w:r>
      <w:r>
        <w:rPr>
          <w:rFonts w:hint="default" w:ascii="楷体_GB2312" w:hAnsi="楷体_GB2312" w:eastAsia="楷体_GB2312" w:cs="楷体_GB2312"/>
          <w:color w:val="auto"/>
          <w:kern w:val="0"/>
          <w:sz w:val="24"/>
          <w:szCs w:val="24"/>
          <w:shd w:val="clear" w:color="auto" w:fill="FFFFFF"/>
          <w:lang w:val="en-US" w:eastAsia="zh-CN" w:bidi="ar-SA"/>
        </w:rPr>
        <w:t>专业的校内实训开展提供了良好的条件。</w:t>
      </w:r>
    </w:p>
    <w:p w14:paraId="2CBA9E13">
      <w:pPr>
        <w:keepNext w:val="0"/>
        <w:keepLines w:val="0"/>
        <w:pageBreakBefore w:val="0"/>
        <w:widowControl w:val="0"/>
        <w:kinsoku/>
        <w:wordWrap/>
        <w:overflowPunct/>
        <w:topLinePunct w:val="0"/>
        <w:autoSpaceDE/>
        <w:autoSpaceDN/>
        <w:bidi w:val="0"/>
        <w:adjustRightInd/>
        <w:snapToGrid/>
        <w:textAlignment w:val="auto"/>
        <w:rPr>
          <w:rFonts w:hint="default" w:asciiTheme="minorEastAsia" w:hAnsiTheme="minorEastAsia" w:eastAsiaTheme="minorEastAsia" w:cstheme="minorEastAsia"/>
          <w:kern w:val="2"/>
          <w:sz w:val="24"/>
          <w:szCs w:val="24"/>
          <w:lang w:val="en-US" w:eastAsia="zh-CN" w:bidi="ar-SA"/>
        </w:rPr>
      </w:pPr>
      <w:r>
        <w:rPr>
          <w:rFonts w:hint="eastAsia" w:ascii="Helvetica" w:hAnsi="Helvetica" w:eastAsia="宋体" w:cs="Helvetica"/>
          <w:i w:val="0"/>
          <w:iCs w:val="0"/>
          <w:caps w:val="0"/>
          <w:color w:val="060607"/>
          <w:spacing w:val="4"/>
          <w:sz w:val="28"/>
          <w:szCs w:val="28"/>
          <w:shd w:val="clear" w:color="auto" w:fill="FFFFFF"/>
          <w:lang w:val="en-US" w:eastAsia="zh-CN"/>
        </w:rPr>
        <w:drawing>
          <wp:inline distT="0" distB="0" distL="114300" distR="114300">
            <wp:extent cx="2520315" cy="1871980"/>
            <wp:effectExtent l="0" t="0" r="13335" b="13970"/>
            <wp:docPr id="21" name="图片 2" descr="1"/>
            <wp:cNvGraphicFramePr/>
            <a:graphic xmlns:a="http://schemas.openxmlformats.org/drawingml/2006/main">
              <a:graphicData uri="http://schemas.openxmlformats.org/drawingml/2006/picture">
                <pic:pic xmlns:pic="http://schemas.openxmlformats.org/drawingml/2006/picture">
                  <pic:nvPicPr>
                    <pic:cNvPr id="21" name="图片 2" descr="1"/>
                    <pic:cNvPicPr/>
                  </pic:nvPicPr>
                  <pic:blipFill>
                    <a:blip r:embed="rId5"/>
                    <a:stretch>
                      <a:fillRect/>
                    </a:stretch>
                  </pic:blipFill>
                  <pic:spPr>
                    <a:xfrm>
                      <a:off x="0" y="0"/>
                      <a:ext cx="2520315" cy="1871980"/>
                    </a:xfrm>
                    <a:prstGeom prst="rect">
                      <a:avLst/>
                    </a:prstGeom>
                    <a:noFill/>
                    <a:ln>
                      <a:noFill/>
                    </a:ln>
                  </pic:spPr>
                </pic:pic>
              </a:graphicData>
            </a:graphic>
          </wp:inline>
        </w:drawing>
      </w:r>
      <w:r>
        <w:rPr>
          <w:rFonts w:hint="eastAsia" w:ascii="Helvetica" w:hAnsi="Helvetica" w:eastAsia="宋体" w:cs="Helvetica"/>
          <w:i w:val="0"/>
          <w:iCs w:val="0"/>
          <w:caps w:val="0"/>
          <w:color w:val="060607"/>
          <w:spacing w:val="4"/>
          <w:sz w:val="28"/>
          <w:szCs w:val="28"/>
          <w:shd w:val="clear" w:color="auto" w:fill="FFFFFF"/>
          <w:lang w:val="en-US" w:eastAsia="zh-CN"/>
        </w:rPr>
        <w:drawing>
          <wp:inline distT="0" distB="0" distL="114300" distR="114300">
            <wp:extent cx="2520315" cy="1871980"/>
            <wp:effectExtent l="0" t="0" r="13335" b="13970"/>
            <wp:docPr id="14" name="图片 3" descr="2"/>
            <wp:cNvGraphicFramePr/>
            <a:graphic xmlns:a="http://schemas.openxmlformats.org/drawingml/2006/main">
              <a:graphicData uri="http://schemas.openxmlformats.org/drawingml/2006/picture">
                <pic:pic xmlns:pic="http://schemas.openxmlformats.org/drawingml/2006/picture">
                  <pic:nvPicPr>
                    <pic:cNvPr id="14" name="图片 3" descr="2"/>
                    <pic:cNvPicPr/>
                  </pic:nvPicPr>
                  <pic:blipFill>
                    <a:blip r:embed="rId6"/>
                    <a:stretch>
                      <a:fillRect/>
                    </a:stretch>
                  </pic:blipFill>
                  <pic:spPr>
                    <a:xfrm>
                      <a:off x="0" y="0"/>
                      <a:ext cx="2520315" cy="1871980"/>
                    </a:xfrm>
                    <a:prstGeom prst="rect">
                      <a:avLst/>
                    </a:prstGeom>
                    <a:noFill/>
                    <a:ln>
                      <a:noFill/>
                    </a:ln>
                  </pic:spPr>
                </pic:pic>
              </a:graphicData>
            </a:graphic>
          </wp:inline>
        </w:drawing>
      </w:r>
      <w:r>
        <w:rPr>
          <w:rFonts w:hint="eastAsia" w:ascii="Helvetica" w:hAnsi="Helvetica" w:eastAsia="宋体" w:cs="Helvetica"/>
          <w:i w:val="0"/>
          <w:iCs w:val="0"/>
          <w:caps w:val="0"/>
          <w:color w:val="060607"/>
          <w:spacing w:val="4"/>
          <w:sz w:val="28"/>
          <w:szCs w:val="28"/>
          <w:shd w:val="clear" w:color="auto" w:fill="FFFFFF"/>
          <w:lang w:val="en-US" w:eastAsia="zh-CN"/>
        </w:rPr>
        <w:drawing>
          <wp:inline distT="0" distB="0" distL="114300" distR="114300">
            <wp:extent cx="2520315" cy="1871980"/>
            <wp:effectExtent l="0" t="0" r="13335" b="13970"/>
            <wp:docPr id="15" name="图片 4" descr="3"/>
            <wp:cNvGraphicFramePr/>
            <a:graphic xmlns:a="http://schemas.openxmlformats.org/drawingml/2006/main">
              <a:graphicData uri="http://schemas.openxmlformats.org/drawingml/2006/picture">
                <pic:pic xmlns:pic="http://schemas.openxmlformats.org/drawingml/2006/picture">
                  <pic:nvPicPr>
                    <pic:cNvPr id="15" name="图片 4" descr="3"/>
                    <pic:cNvPicPr/>
                  </pic:nvPicPr>
                  <pic:blipFill>
                    <a:blip r:embed="rId6"/>
                    <a:stretch>
                      <a:fillRect/>
                    </a:stretch>
                  </pic:blipFill>
                  <pic:spPr>
                    <a:xfrm>
                      <a:off x="0" y="0"/>
                      <a:ext cx="2520315" cy="1871980"/>
                    </a:xfrm>
                    <a:prstGeom prst="rect">
                      <a:avLst/>
                    </a:prstGeom>
                    <a:noFill/>
                    <a:ln>
                      <a:noFill/>
                    </a:ln>
                  </pic:spPr>
                </pic:pic>
              </a:graphicData>
            </a:graphic>
          </wp:inline>
        </w:drawing>
      </w:r>
      <w:r>
        <w:rPr>
          <w:rFonts w:hint="eastAsia" w:ascii="Helvetica" w:hAnsi="Helvetica" w:eastAsia="宋体" w:cs="Helvetica"/>
          <w:i w:val="0"/>
          <w:iCs w:val="0"/>
          <w:caps w:val="0"/>
          <w:color w:val="060607"/>
          <w:spacing w:val="4"/>
          <w:sz w:val="28"/>
          <w:szCs w:val="28"/>
          <w:shd w:val="clear" w:color="auto" w:fill="FFFFFF"/>
          <w:lang w:val="en-US" w:eastAsia="zh-CN"/>
        </w:rPr>
        <w:drawing>
          <wp:inline distT="0" distB="0" distL="114300" distR="114300">
            <wp:extent cx="2520315" cy="1871980"/>
            <wp:effectExtent l="0" t="0" r="13335" b="13970"/>
            <wp:docPr id="16" name="图片 5" descr="4"/>
            <wp:cNvGraphicFramePr/>
            <a:graphic xmlns:a="http://schemas.openxmlformats.org/drawingml/2006/main">
              <a:graphicData uri="http://schemas.openxmlformats.org/drawingml/2006/picture">
                <pic:pic xmlns:pic="http://schemas.openxmlformats.org/drawingml/2006/picture">
                  <pic:nvPicPr>
                    <pic:cNvPr id="16" name="图片 5" descr="4"/>
                    <pic:cNvPicPr/>
                  </pic:nvPicPr>
                  <pic:blipFill>
                    <a:blip r:embed="rId7"/>
                    <a:stretch>
                      <a:fillRect/>
                    </a:stretch>
                  </pic:blipFill>
                  <pic:spPr>
                    <a:xfrm>
                      <a:off x="0" y="0"/>
                      <a:ext cx="2520315" cy="1871980"/>
                    </a:xfrm>
                    <a:prstGeom prst="rect">
                      <a:avLst/>
                    </a:prstGeom>
                    <a:noFill/>
                    <a:ln>
                      <a:noFill/>
                    </a:ln>
                  </pic:spPr>
                </pic:pic>
              </a:graphicData>
            </a:graphic>
          </wp:inline>
        </w:drawing>
      </w:r>
      <w:r>
        <w:rPr>
          <w:rFonts w:hint="eastAsia" w:ascii="Helvetica" w:hAnsi="Helvetica" w:eastAsia="宋体" w:cs="Helvetica"/>
          <w:i w:val="0"/>
          <w:iCs w:val="0"/>
          <w:caps w:val="0"/>
          <w:color w:val="060607"/>
          <w:spacing w:val="4"/>
          <w:sz w:val="28"/>
          <w:szCs w:val="28"/>
          <w:shd w:val="clear" w:color="auto" w:fill="FFFFFF"/>
          <w:lang w:val="en-US" w:eastAsia="zh-CN"/>
        </w:rPr>
        <w:drawing>
          <wp:inline distT="0" distB="0" distL="114300" distR="114300">
            <wp:extent cx="2520315" cy="1871980"/>
            <wp:effectExtent l="0" t="0" r="13335" b="13970"/>
            <wp:docPr id="18" name="图片 6" descr="5"/>
            <wp:cNvGraphicFramePr/>
            <a:graphic xmlns:a="http://schemas.openxmlformats.org/drawingml/2006/main">
              <a:graphicData uri="http://schemas.openxmlformats.org/drawingml/2006/picture">
                <pic:pic xmlns:pic="http://schemas.openxmlformats.org/drawingml/2006/picture">
                  <pic:nvPicPr>
                    <pic:cNvPr id="18" name="图片 6" descr="5"/>
                    <pic:cNvPicPr/>
                  </pic:nvPicPr>
                  <pic:blipFill>
                    <a:blip r:embed="rId8"/>
                    <a:stretch>
                      <a:fillRect/>
                    </a:stretch>
                  </pic:blipFill>
                  <pic:spPr>
                    <a:xfrm>
                      <a:off x="0" y="0"/>
                      <a:ext cx="2520315" cy="1871980"/>
                    </a:xfrm>
                    <a:prstGeom prst="rect">
                      <a:avLst/>
                    </a:prstGeom>
                    <a:noFill/>
                    <a:ln>
                      <a:noFill/>
                    </a:ln>
                  </pic:spPr>
                </pic:pic>
              </a:graphicData>
            </a:graphic>
          </wp:inline>
        </w:drawing>
      </w:r>
      <w:r>
        <w:rPr>
          <w:rFonts w:hint="eastAsia" w:ascii="Helvetica" w:hAnsi="Helvetica" w:eastAsia="宋体" w:cs="Helvetica"/>
          <w:i w:val="0"/>
          <w:iCs w:val="0"/>
          <w:caps w:val="0"/>
          <w:color w:val="060607"/>
          <w:spacing w:val="4"/>
          <w:sz w:val="28"/>
          <w:szCs w:val="28"/>
          <w:shd w:val="clear" w:color="auto" w:fill="FFFFFF"/>
          <w:lang w:val="en-US" w:eastAsia="zh-CN"/>
        </w:rPr>
        <w:drawing>
          <wp:inline distT="0" distB="0" distL="114300" distR="114300">
            <wp:extent cx="2520315" cy="1871980"/>
            <wp:effectExtent l="0" t="0" r="13335" b="13970"/>
            <wp:docPr id="19" name="图片 7" descr="6"/>
            <wp:cNvGraphicFramePr/>
            <a:graphic xmlns:a="http://schemas.openxmlformats.org/drawingml/2006/main">
              <a:graphicData uri="http://schemas.openxmlformats.org/drawingml/2006/picture">
                <pic:pic xmlns:pic="http://schemas.openxmlformats.org/drawingml/2006/picture">
                  <pic:nvPicPr>
                    <pic:cNvPr id="19" name="图片 7" descr="6"/>
                    <pic:cNvPicPr/>
                  </pic:nvPicPr>
                  <pic:blipFill>
                    <a:blip r:embed="rId9"/>
                    <a:stretch>
                      <a:fillRect/>
                    </a:stretch>
                  </pic:blipFill>
                  <pic:spPr>
                    <a:xfrm>
                      <a:off x="0" y="0"/>
                      <a:ext cx="2520315" cy="1871980"/>
                    </a:xfrm>
                    <a:prstGeom prst="rect">
                      <a:avLst/>
                    </a:prstGeom>
                    <a:noFill/>
                    <a:ln>
                      <a:noFill/>
                    </a:ln>
                  </pic:spPr>
                </pic:pic>
              </a:graphicData>
            </a:graphic>
          </wp:inline>
        </w:drawing>
      </w:r>
      <w:r>
        <w:rPr>
          <w:rFonts w:hint="eastAsia" w:ascii="Helvetica" w:hAnsi="Helvetica" w:eastAsia="宋体" w:cs="Helvetica"/>
          <w:i w:val="0"/>
          <w:iCs w:val="0"/>
          <w:caps w:val="0"/>
          <w:color w:val="060607"/>
          <w:spacing w:val="4"/>
          <w:sz w:val="28"/>
          <w:szCs w:val="28"/>
          <w:shd w:val="clear" w:color="auto" w:fill="FFFFFF"/>
          <w:lang w:val="en-US" w:eastAsia="zh-CN"/>
        </w:rPr>
        <w:drawing>
          <wp:inline distT="0" distB="0" distL="114300" distR="114300">
            <wp:extent cx="2520315" cy="1871980"/>
            <wp:effectExtent l="0" t="0" r="13335" b="13970"/>
            <wp:docPr id="17" name="图片 8" descr="7"/>
            <wp:cNvGraphicFramePr/>
            <a:graphic xmlns:a="http://schemas.openxmlformats.org/drawingml/2006/main">
              <a:graphicData uri="http://schemas.openxmlformats.org/drawingml/2006/picture">
                <pic:pic xmlns:pic="http://schemas.openxmlformats.org/drawingml/2006/picture">
                  <pic:nvPicPr>
                    <pic:cNvPr id="17" name="图片 8" descr="7"/>
                    <pic:cNvPicPr/>
                  </pic:nvPicPr>
                  <pic:blipFill>
                    <a:blip r:embed="rId10"/>
                    <a:stretch>
                      <a:fillRect/>
                    </a:stretch>
                  </pic:blipFill>
                  <pic:spPr>
                    <a:xfrm>
                      <a:off x="0" y="0"/>
                      <a:ext cx="2520315" cy="1871980"/>
                    </a:xfrm>
                    <a:prstGeom prst="rect">
                      <a:avLst/>
                    </a:prstGeom>
                    <a:noFill/>
                    <a:ln>
                      <a:noFill/>
                    </a:ln>
                  </pic:spPr>
                </pic:pic>
              </a:graphicData>
            </a:graphic>
          </wp:inline>
        </w:drawing>
      </w:r>
      <w:r>
        <w:rPr>
          <w:rFonts w:hint="eastAsia" w:ascii="Helvetica" w:hAnsi="Helvetica" w:eastAsia="宋体" w:cs="Helvetica"/>
          <w:i w:val="0"/>
          <w:iCs w:val="0"/>
          <w:caps w:val="0"/>
          <w:color w:val="060607"/>
          <w:spacing w:val="4"/>
          <w:sz w:val="28"/>
          <w:szCs w:val="28"/>
          <w:shd w:val="clear" w:color="auto" w:fill="FFFFFF"/>
          <w:lang w:val="en-US" w:eastAsia="zh-CN"/>
        </w:rPr>
        <w:t xml:space="preserve">  </w:t>
      </w:r>
      <w:r>
        <w:rPr>
          <w:rFonts w:hint="eastAsia" w:ascii="Helvetica" w:hAnsi="Helvetica" w:eastAsia="宋体" w:cs="Helvetica"/>
          <w:i w:val="0"/>
          <w:iCs w:val="0"/>
          <w:caps w:val="0"/>
          <w:color w:val="060607"/>
          <w:spacing w:val="4"/>
          <w:sz w:val="28"/>
          <w:szCs w:val="28"/>
          <w:shd w:val="clear" w:color="auto" w:fill="FFFFFF"/>
          <w:lang w:val="en-US" w:eastAsia="zh-CN"/>
        </w:rPr>
        <w:drawing>
          <wp:inline distT="0" distB="0" distL="114300" distR="114300">
            <wp:extent cx="2520315" cy="1871980"/>
            <wp:effectExtent l="0" t="0" r="13335" b="13970"/>
            <wp:docPr id="20" name="图片 9" descr="8"/>
            <wp:cNvGraphicFramePr/>
            <a:graphic xmlns:a="http://schemas.openxmlformats.org/drawingml/2006/main">
              <a:graphicData uri="http://schemas.openxmlformats.org/drawingml/2006/picture">
                <pic:pic xmlns:pic="http://schemas.openxmlformats.org/drawingml/2006/picture">
                  <pic:nvPicPr>
                    <pic:cNvPr id="20" name="图片 9" descr="8"/>
                    <pic:cNvPicPr/>
                  </pic:nvPicPr>
                  <pic:blipFill>
                    <a:blip r:embed="rId11"/>
                    <a:stretch>
                      <a:fillRect/>
                    </a:stretch>
                  </pic:blipFill>
                  <pic:spPr>
                    <a:xfrm>
                      <a:off x="0" y="0"/>
                      <a:ext cx="2520315" cy="1871980"/>
                    </a:xfrm>
                    <a:prstGeom prst="rect">
                      <a:avLst/>
                    </a:prstGeom>
                    <a:noFill/>
                    <a:ln>
                      <a:noFill/>
                    </a:ln>
                  </pic:spPr>
                </pic:pic>
              </a:graphicData>
            </a:graphic>
          </wp:inline>
        </w:drawing>
      </w:r>
    </w:p>
    <w:p w14:paraId="36CBF858">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default" w:ascii="楷体_GB2312" w:hAnsi="楷体_GB2312" w:eastAsia="楷体_GB2312" w:cs="楷体_GB2312"/>
          <w:color w:val="auto"/>
          <w:kern w:val="0"/>
          <w:sz w:val="24"/>
          <w:szCs w:val="24"/>
          <w:shd w:val="clear" w:color="auto" w:fill="FFFFFF"/>
          <w:lang w:val="en-US" w:eastAsia="zh-CN" w:bidi="ar-SA"/>
        </w:rPr>
        <w:t>（</w:t>
      </w:r>
      <w:r>
        <w:rPr>
          <w:rFonts w:hint="eastAsia" w:ascii="楷体_GB2312" w:hAnsi="楷体_GB2312" w:eastAsia="楷体_GB2312" w:cs="楷体_GB2312"/>
          <w:color w:val="auto"/>
          <w:kern w:val="0"/>
          <w:sz w:val="24"/>
          <w:szCs w:val="24"/>
          <w:shd w:val="clear" w:color="auto" w:fill="FFFFFF"/>
          <w:lang w:val="en-US" w:eastAsia="zh-CN" w:bidi="ar-SA"/>
        </w:rPr>
        <w:t>二</w:t>
      </w:r>
      <w:r>
        <w:rPr>
          <w:rFonts w:hint="default" w:ascii="楷体_GB2312" w:hAnsi="楷体_GB2312" w:eastAsia="楷体_GB2312" w:cs="楷体_GB2312"/>
          <w:color w:val="auto"/>
          <w:kern w:val="0"/>
          <w:sz w:val="24"/>
          <w:szCs w:val="24"/>
          <w:shd w:val="clear" w:color="auto" w:fill="FFFFFF"/>
          <w:lang w:val="en-US" w:eastAsia="zh-CN" w:bidi="ar-SA"/>
        </w:rPr>
        <w:t>）校</w:t>
      </w:r>
      <w:r>
        <w:rPr>
          <w:rFonts w:hint="eastAsia" w:ascii="楷体_GB2312" w:hAnsi="楷体_GB2312" w:eastAsia="楷体_GB2312" w:cs="楷体_GB2312"/>
          <w:color w:val="auto"/>
          <w:kern w:val="0"/>
          <w:sz w:val="24"/>
          <w:szCs w:val="24"/>
          <w:shd w:val="clear" w:color="auto" w:fill="FFFFFF"/>
          <w:lang w:val="en-US" w:eastAsia="zh-CN" w:bidi="ar-SA"/>
        </w:rPr>
        <w:t>外</w:t>
      </w:r>
      <w:r>
        <w:rPr>
          <w:rFonts w:hint="default" w:ascii="楷体_GB2312" w:hAnsi="楷体_GB2312" w:eastAsia="楷体_GB2312" w:cs="楷体_GB2312"/>
          <w:color w:val="auto"/>
          <w:kern w:val="0"/>
          <w:sz w:val="24"/>
          <w:szCs w:val="24"/>
          <w:shd w:val="clear" w:color="auto" w:fill="FFFFFF"/>
          <w:lang w:val="en-US" w:eastAsia="zh-CN" w:bidi="ar-SA"/>
        </w:rPr>
        <w:t>实训条件</w:t>
      </w:r>
    </w:p>
    <w:p w14:paraId="1314C891">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该专业教学注重学生实践能力培养和积累，</w:t>
      </w:r>
      <w:r>
        <w:rPr>
          <w:rFonts w:hint="default" w:ascii="楷体_GB2312" w:hAnsi="楷体_GB2312" w:eastAsia="楷体_GB2312" w:cs="楷体_GB2312"/>
          <w:color w:val="auto"/>
          <w:kern w:val="0"/>
          <w:sz w:val="24"/>
          <w:szCs w:val="24"/>
          <w:shd w:val="clear" w:color="auto" w:fill="FFFFFF"/>
          <w:lang w:val="en-US" w:eastAsia="zh-CN" w:bidi="ar-SA"/>
        </w:rPr>
        <w:t>与</w:t>
      </w:r>
      <w:r>
        <w:rPr>
          <w:rFonts w:hint="eastAsia" w:ascii="楷体_GB2312" w:hAnsi="楷体_GB2312" w:eastAsia="楷体_GB2312" w:cs="楷体_GB2312"/>
          <w:color w:val="auto"/>
          <w:kern w:val="0"/>
          <w:sz w:val="24"/>
          <w:szCs w:val="24"/>
          <w:shd w:val="clear" w:color="auto" w:fill="FFFFFF"/>
          <w:lang w:val="en-US" w:eastAsia="zh-CN" w:bidi="ar-SA"/>
        </w:rPr>
        <w:t>漱玉平民大药房连锁股份公司、济南方成药品零售有限公司、济南平嘉大药房有限公司、济南海州大药房有限公司、</w:t>
      </w:r>
      <w:r>
        <w:rPr>
          <w:rFonts w:hint="default" w:ascii="楷体_GB2312" w:hAnsi="楷体_GB2312" w:eastAsia="楷体_GB2312" w:cs="楷体_GB2312"/>
          <w:color w:val="auto"/>
          <w:kern w:val="0"/>
          <w:sz w:val="24"/>
          <w:szCs w:val="24"/>
          <w:shd w:val="clear" w:color="auto" w:fill="FFFFFF"/>
          <w:lang w:val="en-US" w:eastAsia="zh-CN" w:bidi="ar-SA"/>
        </w:rPr>
        <w:t>山东海王医药集团有限公司、济南立健大药房有限公司、仁华医药集团股份有限公司、山东信宏仁医药连锁有限公司</w:t>
      </w:r>
      <w:r>
        <w:rPr>
          <w:rFonts w:hint="eastAsia" w:ascii="楷体_GB2312" w:hAnsi="楷体_GB2312" w:eastAsia="楷体_GB2312" w:cs="楷体_GB2312"/>
          <w:color w:val="auto"/>
          <w:kern w:val="0"/>
          <w:sz w:val="24"/>
          <w:szCs w:val="24"/>
          <w:shd w:val="clear" w:color="auto" w:fill="FFFFFF"/>
          <w:lang w:val="en-US" w:eastAsia="zh-CN" w:bidi="ar-SA"/>
        </w:rPr>
        <w:t>等10余家药品经营企业在校外实践教学、实习、就业等方面密切合作。另与齐鲁制药有限公司、山东鲁抗医药股份有限公司、鲁南制药集团股份有限公司、山东宏济堂制药集团股份有限公司、山东新华制药股份有限公司等药品生产企业建立了实习合作关系，</w:t>
      </w:r>
      <w:r>
        <w:rPr>
          <w:rFonts w:hint="eastAsia" w:ascii="楷体_GB2312" w:hAnsi="楷体_GB2312" w:eastAsia="楷体_GB2312" w:cs="楷体_GB2312"/>
          <w:color w:val="auto"/>
          <w:sz w:val="24"/>
          <w:szCs w:val="24"/>
          <w:shd w:val="clear" w:color="auto" w:fill="FFFFFF"/>
        </w:rPr>
        <w:t>为学生提供实训、实习等机会。</w:t>
      </w:r>
    </w:p>
    <w:p w14:paraId="09EC6671">
      <w:pPr>
        <w:pStyle w:val="2"/>
        <w:spacing w:line="240" w:lineRule="auto"/>
        <w:ind w:left="0" w:leftChars="0" w:firstLine="0" w:firstLineChars="0"/>
        <w:rPr>
          <w:rFonts w:hint="eastAsia"/>
          <w:lang w:val="en-US" w:eastAsia="zh-CN"/>
        </w:rPr>
      </w:pPr>
      <w:r>
        <w:rPr>
          <w:rFonts w:hint="eastAsia"/>
          <w:lang w:val="en-US" w:eastAsia="zh-CN"/>
        </w:rPr>
        <w:drawing>
          <wp:inline distT="0" distB="0" distL="114300" distR="114300">
            <wp:extent cx="5266055" cy="3948430"/>
            <wp:effectExtent l="0" t="0" r="10795" b="1397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2"/>
                    <a:stretch>
                      <a:fillRect/>
                    </a:stretch>
                  </pic:blipFill>
                  <pic:spPr>
                    <a:xfrm>
                      <a:off x="0" y="0"/>
                      <a:ext cx="5266055" cy="3948430"/>
                    </a:xfrm>
                    <a:prstGeom prst="rect">
                      <a:avLst/>
                    </a:prstGeom>
                  </pic:spPr>
                </pic:pic>
              </a:graphicData>
            </a:graphic>
          </wp:inline>
        </w:drawing>
      </w:r>
    </w:p>
    <w:p w14:paraId="2F038C6F">
      <w:pPr>
        <w:widowControl/>
        <w:spacing w:line="360" w:lineRule="auto"/>
        <w:jc w:val="left"/>
        <w:rPr>
          <w:rStyle w:val="10"/>
          <w:rFonts w:hint="eastAsia"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val="en-US" w:eastAsia="zh-CN" w:bidi="ar"/>
        </w:rPr>
        <w:t>六、</w:t>
      </w:r>
      <w:r>
        <w:rPr>
          <w:rStyle w:val="10"/>
          <w:rFonts w:hint="eastAsia" w:ascii="楷体_GB2312" w:hAnsi="楷体_GB2312" w:eastAsia="楷体_GB2312" w:cs="楷体_GB2312"/>
          <w:bCs/>
          <w:color w:val="auto"/>
          <w:spacing w:val="8"/>
          <w:kern w:val="0"/>
          <w:sz w:val="24"/>
          <w:szCs w:val="24"/>
          <w:shd w:val="clear" w:color="auto" w:fill="FFFFFF"/>
          <w:lang w:eastAsia="zh-CN" w:bidi="ar"/>
        </w:rPr>
        <w:t>创新创业与学历提升</w:t>
      </w:r>
    </w:p>
    <w:p w14:paraId="11930B0F">
      <w:pPr>
        <w:widowControl/>
        <w:spacing w:line="360" w:lineRule="auto"/>
        <w:ind w:firstLine="480" w:firstLineChars="200"/>
        <w:jc w:val="left"/>
        <w:rPr>
          <w:rFonts w:hint="eastAsia" w:ascii="楷体_GB2312" w:hAnsi="楷体_GB2312" w:eastAsia="楷体_GB2312" w:cs="楷体_GB2312"/>
          <w:color w:val="auto"/>
          <w:kern w:val="0"/>
          <w:sz w:val="24"/>
          <w:szCs w:val="24"/>
          <w:highlight w:val="none"/>
          <w:shd w:val="clear" w:color="auto" w:fill="FFFFFF"/>
          <w:lang w:val="en-US" w:eastAsia="zh-CN" w:bidi="ar-SA"/>
        </w:rPr>
      </w:pPr>
      <w:r>
        <w:rPr>
          <w:rFonts w:hint="eastAsia" w:ascii="楷体_GB2312" w:hAnsi="楷体_GB2312" w:eastAsia="楷体_GB2312" w:cs="楷体_GB2312"/>
          <w:color w:val="auto"/>
          <w:kern w:val="0"/>
          <w:sz w:val="24"/>
          <w:szCs w:val="24"/>
          <w:highlight w:val="none"/>
          <w:shd w:val="clear" w:color="auto" w:fill="FFFFFF"/>
          <w:lang w:val="en-US" w:eastAsia="zh-CN" w:bidi="ar-SA"/>
        </w:rPr>
        <w:t>（一）创新创业大赛</w:t>
      </w:r>
    </w:p>
    <w:p w14:paraId="17679170">
      <w:pPr>
        <w:widowControl/>
        <w:spacing w:line="360" w:lineRule="auto"/>
        <w:ind w:firstLine="480" w:firstLineChars="200"/>
        <w:jc w:val="left"/>
        <w:rPr>
          <w:rFonts w:hint="eastAsia" w:ascii="楷体_GB2312" w:hAnsi="楷体_GB2312" w:eastAsia="楷体_GB2312" w:cs="楷体_GB2312"/>
          <w:color w:val="0000FF"/>
          <w:kern w:val="0"/>
          <w:sz w:val="24"/>
          <w:highlight w:val="none"/>
          <w:shd w:val="clear" w:color="auto" w:fill="FFFFFF"/>
        </w:rPr>
      </w:pPr>
      <w:r>
        <w:rPr>
          <w:rFonts w:hint="eastAsia" w:ascii="楷体_GB2312" w:hAnsi="楷体_GB2312" w:eastAsia="楷体_GB2312" w:cs="楷体_GB2312"/>
          <w:color w:val="auto"/>
          <w:kern w:val="0"/>
          <w:sz w:val="24"/>
          <w:szCs w:val="24"/>
          <w:highlight w:val="none"/>
          <w:shd w:val="clear" w:color="auto" w:fill="FFFFFF"/>
          <w:lang w:val="en-US" w:eastAsia="zh-CN" w:bidi="ar-SA"/>
        </w:rPr>
        <w:t>该专业近年来在创新创业比赛中崭露头角，屡创佳绩。</w:t>
      </w:r>
      <w:r>
        <w:rPr>
          <w:rFonts w:hint="eastAsia" w:ascii="楷体_GB2312" w:hAnsi="楷体_GB2312" w:eastAsia="楷体_GB2312" w:cs="楷体_GB2312"/>
          <w:color w:val="auto"/>
          <w:kern w:val="0"/>
          <w:sz w:val="24"/>
          <w:highlight w:val="none"/>
          <w:shd w:val="clear" w:color="auto" w:fill="FFFFFF"/>
        </w:rPr>
        <w:t>202</w:t>
      </w:r>
      <w:r>
        <w:rPr>
          <w:rFonts w:hint="eastAsia" w:ascii="楷体_GB2312" w:hAnsi="楷体_GB2312" w:eastAsia="楷体_GB2312" w:cs="楷体_GB2312"/>
          <w:color w:val="auto"/>
          <w:kern w:val="0"/>
          <w:sz w:val="24"/>
          <w:highlight w:val="none"/>
          <w:shd w:val="clear" w:color="auto" w:fill="FFFFFF"/>
          <w:lang w:val="en-US" w:eastAsia="zh-CN"/>
        </w:rPr>
        <w:t>4</w:t>
      </w:r>
      <w:r>
        <w:rPr>
          <w:rFonts w:hint="eastAsia" w:ascii="楷体_GB2312" w:hAnsi="楷体_GB2312" w:eastAsia="楷体_GB2312" w:cs="楷体_GB2312"/>
          <w:color w:val="auto"/>
          <w:kern w:val="0"/>
          <w:sz w:val="24"/>
          <w:highlight w:val="none"/>
          <w:shd w:val="clear" w:color="auto" w:fill="FFFFFF"/>
        </w:rPr>
        <w:t>年，项目“</w:t>
      </w:r>
      <w:r>
        <w:rPr>
          <w:rFonts w:hint="eastAsia" w:ascii="楷体_GB2312" w:hAnsi="楷体_GB2312" w:eastAsia="楷体_GB2312" w:cs="楷体_GB2312"/>
          <w:color w:val="auto"/>
          <w:kern w:val="0"/>
          <w:sz w:val="24"/>
          <w:highlight w:val="none"/>
          <w:shd w:val="clear" w:color="auto" w:fill="FFFFFF"/>
          <w:lang w:eastAsia="zh-CN"/>
        </w:rPr>
        <w:t>灵愈微触——基于纳米酶水凝胶的微针消炎贴片</w:t>
      </w:r>
      <w:r>
        <w:rPr>
          <w:rFonts w:hint="eastAsia" w:ascii="楷体_GB2312" w:hAnsi="楷体_GB2312" w:eastAsia="楷体_GB2312" w:cs="楷体_GB2312"/>
          <w:color w:val="auto"/>
          <w:kern w:val="0"/>
          <w:sz w:val="24"/>
          <w:highlight w:val="none"/>
          <w:shd w:val="clear" w:color="auto" w:fill="FFFFFF"/>
        </w:rPr>
        <w:t>”，获得山东省“建行杯”山东省大学生创新大赛</w:t>
      </w:r>
      <w:r>
        <w:rPr>
          <w:rFonts w:hint="eastAsia" w:ascii="楷体_GB2312" w:hAnsi="楷体_GB2312" w:eastAsia="楷体_GB2312" w:cs="楷体_GB2312"/>
          <w:color w:val="auto"/>
          <w:kern w:val="0"/>
          <w:sz w:val="24"/>
          <w:highlight w:val="none"/>
          <w:shd w:val="clear" w:color="auto" w:fill="FFFFFF"/>
          <w:lang w:val="en-US" w:eastAsia="zh-CN"/>
        </w:rPr>
        <w:t>银奖</w:t>
      </w:r>
      <w:r>
        <w:rPr>
          <w:rFonts w:hint="eastAsia" w:ascii="楷体_GB2312" w:hAnsi="楷体_GB2312" w:eastAsia="楷体_GB2312" w:cs="楷体_GB2312"/>
          <w:color w:val="auto"/>
          <w:kern w:val="0"/>
          <w:sz w:val="24"/>
          <w:highlight w:val="none"/>
          <w:shd w:val="clear" w:color="auto" w:fill="FFFFFF"/>
        </w:rPr>
        <w:t>；项目</w:t>
      </w:r>
      <w:r>
        <w:rPr>
          <w:rFonts w:hint="eastAsia" w:ascii="楷体_GB2312" w:hAnsi="楷体_GB2312" w:eastAsia="楷体_GB2312" w:cs="楷体_GB2312"/>
          <w:color w:val="auto"/>
          <w:kern w:val="0"/>
          <w:sz w:val="24"/>
          <w:highlight w:val="none"/>
          <w:shd w:val="clear" w:color="auto" w:fill="FFFFFF"/>
          <w:lang w:eastAsia="zh-CN"/>
        </w:rPr>
        <w:t>“</w:t>
      </w:r>
      <w:r>
        <w:rPr>
          <w:rFonts w:hint="eastAsia" w:ascii="楷体_GB2312" w:hAnsi="楷体_GB2312" w:eastAsia="楷体_GB2312" w:cs="楷体_GB2312"/>
          <w:color w:val="auto"/>
          <w:kern w:val="0"/>
          <w:sz w:val="24"/>
          <w:highlight w:val="none"/>
          <w:shd w:val="clear" w:color="auto" w:fill="FFFFFF"/>
        </w:rPr>
        <w:t>全维抗体筛选</w:t>
      </w:r>
      <w:r>
        <w:rPr>
          <w:rFonts w:hint="eastAsia" w:ascii="楷体_GB2312" w:hAnsi="楷体_GB2312" w:eastAsia="楷体_GB2312" w:cs="楷体_GB2312"/>
          <w:color w:val="auto"/>
          <w:kern w:val="0"/>
          <w:sz w:val="24"/>
          <w:highlight w:val="none"/>
          <w:shd w:val="clear" w:color="auto" w:fill="FFFFFF"/>
          <w:lang w:eastAsia="zh-CN"/>
        </w:rPr>
        <w:t>”</w:t>
      </w:r>
      <w:r>
        <w:rPr>
          <w:rFonts w:hint="eastAsia" w:ascii="楷体_GB2312" w:hAnsi="楷体_GB2312" w:eastAsia="楷体_GB2312" w:cs="楷体_GB2312"/>
          <w:color w:val="auto"/>
          <w:kern w:val="0"/>
          <w:sz w:val="24"/>
          <w:highlight w:val="none"/>
          <w:shd w:val="clear" w:color="auto" w:fill="FFFFFF"/>
        </w:rPr>
        <w:t>，获得山东省“建行杯”山东省大学生创新大赛</w:t>
      </w:r>
      <w:r>
        <w:rPr>
          <w:rFonts w:hint="eastAsia" w:ascii="楷体_GB2312" w:hAnsi="楷体_GB2312" w:eastAsia="楷体_GB2312" w:cs="楷体_GB2312"/>
          <w:color w:val="auto"/>
          <w:kern w:val="0"/>
          <w:sz w:val="24"/>
          <w:highlight w:val="none"/>
          <w:shd w:val="clear" w:color="auto" w:fill="FFFFFF"/>
          <w:lang w:val="en-US" w:eastAsia="zh-CN"/>
        </w:rPr>
        <w:t>铜奖</w:t>
      </w:r>
      <w:r>
        <w:rPr>
          <w:rFonts w:hint="eastAsia" w:ascii="楷体_GB2312" w:hAnsi="楷体_GB2312" w:eastAsia="楷体_GB2312" w:cs="楷体_GB2312"/>
          <w:color w:val="auto"/>
          <w:kern w:val="0"/>
          <w:sz w:val="24"/>
          <w:highlight w:val="none"/>
          <w:shd w:val="clear" w:color="auto" w:fill="FFFFFF"/>
        </w:rPr>
        <w:t>；项目“</w:t>
      </w:r>
      <w:r>
        <w:rPr>
          <w:rFonts w:hint="eastAsia" w:ascii="楷体_GB2312" w:hAnsi="楷体_GB2312" w:eastAsia="楷体_GB2312" w:cs="楷体_GB2312"/>
          <w:color w:val="auto"/>
          <w:kern w:val="0"/>
          <w:sz w:val="24"/>
          <w:highlight w:val="none"/>
          <w:shd w:val="clear" w:color="auto" w:fill="FFFFFF"/>
          <w:lang w:eastAsia="zh-CN"/>
        </w:rPr>
        <w:t>抗菌能手——氨苄西林钠</w:t>
      </w:r>
      <w:r>
        <w:rPr>
          <w:rFonts w:hint="eastAsia" w:ascii="楷体_GB2312" w:hAnsi="楷体_GB2312" w:eastAsia="楷体_GB2312" w:cs="楷体_GB2312"/>
          <w:color w:val="auto"/>
          <w:kern w:val="0"/>
          <w:sz w:val="24"/>
          <w:highlight w:val="none"/>
          <w:shd w:val="clear" w:color="auto" w:fill="FFFFFF"/>
        </w:rPr>
        <w:t>”，获得山东省黄炎培职业教育创新创业大赛</w:t>
      </w:r>
      <w:r>
        <w:rPr>
          <w:rFonts w:hint="eastAsia" w:ascii="楷体_GB2312" w:hAnsi="楷体_GB2312" w:eastAsia="楷体_GB2312" w:cs="楷体_GB2312"/>
          <w:color w:val="auto"/>
          <w:kern w:val="0"/>
          <w:sz w:val="24"/>
          <w:highlight w:val="none"/>
          <w:shd w:val="clear" w:color="auto" w:fill="FFFFFF"/>
          <w:lang w:val="en-US" w:eastAsia="zh-CN"/>
        </w:rPr>
        <w:t>三</w:t>
      </w:r>
      <w:r>
        <w:rPr>
          <w:rFonts w:hint="eastAsia" w:ascii="楷体_GB2312" w:hAnsi="楷体_GB2312" w:eastAsia="楷体_GB2312" w:cs="楷体_GB2312"/>
          <w:color w:val="auto"/>
          <w:kern w:val="0"/>
          <w:sz w:val="24"/>
          <w:highlight w:val="none"/>
          <w:shd w:val="clear" w:color="auto" w:fill="FFFFFF"/>
        </w:rPr>
        <w:t>等奖</w:t>
      </w:r>
      <w:r>
        <w:rPr>
          <w:rFonts w:hint="eastAsia" w:ascii="楷体_GB2312" w:hAnsi="楷体_GB2312" w:eastAsia="楷体_GB2312" w:cs="楷体_GB2312"/>
          <w:color w:val="auto"/>
          <w:kern w:val="0"/>
          <w:sz w:val="24"/>
          <w:highlight w:val="none"/>
          <w:shd w:val="clear" w:color="auto" w:fill="FFFFFF"/>
          <w:lang w:eastAsia="zh-CN"/>
        </w:rPr>
        <w:t>；</w:t>
      </w:r>
      <w:r>
        <w:rPr>
          <w:rFonts w:hint="eastAsia" w:ascii="楷体_GB2312" w:hAnsi="楷体_GB2312" w:eastAsia="楷体_GB2312" w:cs="楷体_GB2312"/>
          <w:color w:val="auto"/>
          <w:kern w:val="0"/>
          <w:sz w:val="24"/>
          <w:highlight w:val="none"/>
          <w:shd w:val="clear" w:color="auto" w:fill="FFFFFF"/>
        </w:rPr>
        <w:t>项目“</w:t>
      </w:r>
      <w:r>
        <w:rPr>
          <w:rFonts w:hint="eastAsia" w:ascii="楷体_GB2312" w:hAnsi="楷体_GB2312" w:eastAsia="楷体_GB2312" w:cs="楷体_GB2312"/>
          <w:color w:val="auto"/>
          <w:kern w:val="0"/>
          <w:sz w:val="24"/>
          <w:highlight w:val="none"/>
          <w:shd w:val="clear" w:color="auto" w:fill="FFFFFF"/>
          <w:lang w:eastAsia="zh-CN"/>
        </w:rPr>
        <w:t>冰桂醒神口含片</w:t>
      </w:r>
      <w:r>
        <w:rPr>
          <w:rFonts w:hint="eastAsia" w:ascii="楷体_GB2312" w:hAnsi="楷体_GB2312" w:eastAsia="楷体_GB2312" w:cs="楷体_GB2312"/>
          <w:color w:val="auto"/>
          <w:kern w:val="0"/>
          <w:sz w:val="24"/>
          <w:highlight w:val="none"/>
          <w:shd w:val="clear" w:color="auto" w:fill="FFFFFF"/>
        </w:rPr>
        <w:t>”获得济南市黄炎培职业教育创新创业大赛</w:t>
      </w:r>
      <w:r>
        <w:rPr>
          <w:rFonts w:hint="eastAsia" w:ascii="楷体_GB2312" w:hAnsi="楷体_GB2312" w:eastAsia="楷体_GB2312" w:cs="楷体_GB2312"/>
          <w:color w:val="auto"/>
          <w:kern w:val="0"/>
          <w:sz w:val="24"/>
          <w:highlight w:val="none"/>
          <w:shd w:val="clear" w:color="auto" w:fill="FFFFFF"/>
          <w:lang w:val="en-US" w:eastAsia="zh-CN"/>
        </w:rPr>
        <w:t>二等奖；项目“康之如饴——中药高粱饴糖”</w:t>
      </w:r>
      <w:r>
        <w:rPr>
          <w:rFonts w:hint="eastAsia" w:ascii="楷体_GB2312" w:hAnsi="楷体_GB2312" w:eastAsia="楷体_GB2312" w:cs="楷体_GB2312"/>
          <w:color w:val="auto"/>
          <w:kern w:val="0"/>
          <w:sz w:val="24"/>
          <w:highlight w:val="none"/>
          <w:shd w:val="clear" w:color="auto" w:fill="FFFFFF"/>
        </w:rPr>
        <w:t>获得济南市黄炎培职业教育创新创业大赛</w:t>
      </w:r>
      <w:r>
        <w:rPr>
          <w:rFonts w:hint="eastAsia" w:ascii="楷体_GB2312" w:hAnsi="楷体_GB2312" w:eastAsia="楷体_GB2312" w:cs="楷体_GB2312"/>
          <w:color w:val="auto"/>
          <w:kern w:val="0"/>
          <w:sz w:val="24"/>
          <w:highlight w:val="none"/>
          <w:shd w:val="clear" w:color="auto" w:fill="FFFFFF"/>
          <w:lang w:val="en-US" w:eastAsia="zh-CN"/>
        </w:rPr>
        <w:t>三等奖；项目“智在氮舱”</w:t>
      </w:r>
      <w:r>
        <w:rPr>
          <w:rFonts w:hint="eastAsia" w:ascii="楷体_GB2312" w:hAnsi="楷体_GB2312" w:eastAsia="楷体_GB2312" w:cs="楷体_GB2312"/>
          <w:color w:val="auto"/>
          <w:kern w:val="0"/>
          <w:sz w:val="24"/>
          <w:highlight w:val="none"/>
          <w:shd w:val="clear" w:color="auto" w:fill="FFFFFF"/>
        </w:rPr>
        <w:t>获得山东省大学生科技节</w:t>
      </w:r>
      <w:r>
        <w:rPr>
          <w:rFonts w:hint="eastAsia" w:ascii="楷体_GB2312" w:hAnsi="楷体_GB2312" w:eastAsia="楷体_GB2312" w:cs="楷体_GB2312"/>
          <w:color w:val="auto"/>
          <w:kern w:val="0"/>
          <w:sz w:val="24"/>
          <w:highlight w:val="none"/>
          <w:shd w:val="clear" w:color="auto" w:fill="FFFFFF"/>
          <w:lang w:val="en-US" w:eastAsia="zh-CN"/>
        </w:rPr>
        <w:t>医养健康创新创业大赛三等奖等</w:t>
      </w:r>
      <w:r>
        <w:rPr>
          <w:rFonts w:hint="eastAsia" w:ascii="楷体_GB2312" w:hAnsi="楷体_GB2312" w:eastAsia="楷体_GB2312" w:cs="楷体_GB2312"/>
          <w:color w:val="auto"/>
          <w:kern w:val="0"/>
          <w:sz w:val="24"/>
          <w:highlight w:val="none"/>
          <w:shd w:val="clear" w:color="auto" w:fill="FFFFFF"/>
        </w:rPr>
        <w:t>。</w:t>
      </w:r>
    </w:p>
    <w:p w14:paraId="00DCEFD6">
      <w:pPr>
        <w:pStyle w:val="2"/>
        <w:spacing w:line="240" w:lineRule="auto"/>
        <w:ind w:left="0" w:leftChars="0" w:firstLine="0" w:firstLineChars="0"/>
        <w:jc w:val="center"/>
        <w:rPr>
          <w:rFonts w:hint="eastAsia" w:ascii="楷体_GB2312" w:hAnsi="楷体_GB2312" w:eastAsia="楷体_GB2312" w:cs="楷体_GB2312"/>
          <w:color w:val="0000FF"/>
          <w:kern w:val="0"/>
          <w:sz w:val="24"/>
          <w:highlight w:val="none"/>
          <w:shd w:val="clear" w:color="auto" w:fill="FFFFFF"/>
          <w:lang w:eastAsia="zh-CN"/>
        </w:rPr>
      </w:pPr>
      <w:r>
        <w:rPr>
          <w:rFonts w:hint="eastAsia" w:ascii="楷体_GB2312" w:hAnsi="楷体_GB2312" w:eastAsia="楷体_GB2312" w:cs="楷体_GB2312"/>
          <w:color w:val="0000FF"/>
          <w:kern w:val="0"/>
          <w:sz w:val="24"/>
          <w:highlight w:val="none"/>
          <w:shd w:val="clear" w:color="auto" w:fill="FFFFFF"/>
          <w:lang w:eastAsia="zh-CN"/>
        </w:rPr>
        <w:drawing>
          <wp:inline distT="0" distB="0" distL="114300" distR="114300">
            <wp:extent cx="2520315" cy="1800225"/>
            <wp:effectExtent l="0" t="0" r="13335" b="9525"/>
            <wp:docPr id="7" name="图片 7" descr="2"/>
            <wp:cNvGraphicFramePr/>
            <a:graphic xmlns:a="http://schemas.openxmlformats.org/drawingml/2006/main">
              <a:graphicData uri="http://schemas.openxmlformats.org/drawingml/2006/picture">
                <pic:pic xmlns:pic="http://schemas.openxmlformats.org/drawingml/2006/picture">
                  <pic:nvPicPr>
                    <pic:cNvPr id="7" name="图片 7" descr="2"/>
                    <pic:cNvPicPr/>
                  </pic:nvPicPr>
                  <pic:blipFill>
                    <a:blip r:embed="rId13"/>
                    <a:stretch>
                      <a:fillRect/>
                    </a:stretch>
                  </pic:blipFill>
                  <pic:spPr>
                    <a:xfrm>
                      <a:off x="0" y="0"/>
                      <a:ext cx="2520315" cy="1800225"/>
                    </a:xfrm>
                    <a:prstGeom prst="rect">
                      <a:avLst/>
                    </a:prstGeom>
                  </pic:spPr>
                </pic:pic>
              </a:graphicData>
            </a:graphic>
          </wp:inline>
        </w:drawing>
      </w:r>
      <w:r>
        <w:rPr>
          <w:rFonts w:hint="eastAsia" w:ascii="楷体_GB2312" w:hAnsi="楷体_GB2312" w:eastAsia="楷体_GB2312" w:cs="楷体_GB2312"/>
          <w:color w:val="0000FF"/>
          <w:kern w:val="0"/>
          <w:sz w:val="24"/>
          <w:highlight w:val="none"/>
          <w:shd w:val="clear" w:color="auto" w:fill="FFFFFF"/>
          <w:lang w:eastAsia="zh-CN"/>
        </w:rPr>
        <w:drawing>
          <wp:inline distT="0" distB="0" distL="114300" distR="114300">
            <wp:extent cx="2520315" cy="1800225"/>
            <wp:effectExtent l="0" t="0" r="13335" b="9525"/>
            <wp:docPr id="6" name="图片 6" descr="高粱饴 市赛"/>
            <wp:cNvGraphicFramePr/>
            <a:graphic xmlns:a="http://schemas.openxmlformats.org/drawingml/2006/main">
              <a:graphicData uri="http://schemas.openxmlformats.org/drawingml/2006/picture">
                <pic:pic xmlns:pic="http://schemas.openxmlformats.org/drawingml/2006/picture">
                  <pic:nvPicPr>
                    <pic:cNvPr id="6" name="图片 6" descr="高粱饴 市赛"/>
                    <pic:cNvPicPr/>
                  </pic:nvPicPr>
                  <pic:blipFill>
                    <a:blip r:embed="rId14"/>
                    <a:stretch>
                      <a:fillRect/>
                    </a:stretch>
                  </pic:blipFill>
                  <pic:spPr>
                    <a:xfrm>
                      <a:off x="0" y="0"/>
                      <a:ext cx="2520315" cy="1800225"/>
                    </a:xfrm>
                    <a:prstGeom prst="rect">
                      <a:avLst/>
                    </a:prstGeom>
                  </pic:spPr>
                </pic:pic>
              </a:graphicData>
            </a:graphic>
          </wp:inline>
        </w:drawing>
      </w:r>
    </w:p>
    <w:p w14:paraId="353503EB">
      <w:pPr>
        <w:pStyle w:val="2"/>
        <w:spacing w:line="240" w:lineRule="auto"/>
        <w:ind w:left="0" w:leftChars="0" w:firstLine="0" w:firstLineChars="0"/>
        <w:jc w:val="center"/>
        <w:rPr>
          <w:rFonts w:hint="eastAsia"/>
          <w:lang w:val="en-US" w:eastAsia="zh-CN"/>
        </w:rPr>
      </w:pPr>
      <w:r>
        <w:rPr>
          <w:rFonts w:hint="eastAsia" w:ascii="楷体_GB2312" w:hAnsi="楷体_GB2312" w:eastAsia="楷体_GB2312" w:cs="楷体_GB2312"/>
          <w:color w:val="0000FF"/>
          <w:kern w:val="0"/>
          <w:sz w:val="24"/>
          <w:highlight w:val="none"/>
          <w:shd w:val="clear" w:color="auto" w:fill="FFFFFF"/>
          <w:lang w:eastAsia="zh-CN"/>
        </w:rPr>
        <w:drawing>
          <wp:inline distT="0" distB="0" distL="114300" distR="114300">
            <wp:extent cx="1800225" cy="2520315"/>
            <wp:effectExtent l="0" t="0" r="13335" b="9525"/>
            <wp:docPr id="8" name="图片 8" descr="11"/>
            <wp:cNvGraphicFramePr/>
            <a:graphic xmlns:a="http://schemas.openxmlformats.org/drawingml/2006/main">
              <a:graphicData uri="http://schemas.openxmlformats.org/drawingml/2006/picture">
                <pic:pic xmlns:pic="http://schemas.openxmlformats.org/drawingml/2006/picture">
                  <pic:nvPicPr>
                    <pic:cNvPr id="8" name="图片 8" descr="11"/>
                    <pic:cNvPicPr/>
                  </pic:nvPicPr>
                  <pic:blipFill>
                    <a:blip r:embed="rId15"/>
                    <a:stretch>
                      <a:fillRect/>
                    </a:stretch>
                  </pic:blipFill>
                  <pic:spPr>
                    <a:xfrm rot="16200000">
                      <a:off x="0" y="0"/>
                      <a:ext cx="1800225" cy="2520315"/>
                    </a:xfrm>
                    <a:prstGeom prst="rect">
                      <a:avLst/>
                    </a:prstGeom>
                  </pic:spPr>
                </pic:pic>
              </a:graphicData>
            </a:graphic>
          </wp:inline>
        </w:drawing>
      </w:r>
      <w:r>
        <w:rPr>
          <w:rFonts w:hint="eastAsia" w:ascii="楷体_GB2312" w:hAnsi="楷体_GB2312" w:eastAsia="楷体_GB2312" w:cs="楷体_GB2312"/>
          <w:color w:val="0000FF"/>
          <w:kern w:val="0"/>
          <w:sz w:val="24"/>
          <w:highlight w:val="none"/>
          <w:shd w:val="clear" w:color="auto" w:fill="FFFFFF"/>
          <w:lang w:eastAsia="zh-CN"/>
        </w:rPr>
        <w:drawing>
          <wp:inline distT="0" distB="0" distL="114300" distR="114300">
            <wp:extent cx="1259840" cy="1800225"/>
            <wp:effectExtent l="0" t="0" r="16510" b="9525"/>
            <wp:docPr id="10" name="图片 10" descr="建行杯获奖证书"/>
            <wp:cNvGraphicFramePr/>
            <a:graphic xmlns:a="http://schemas.openxmlformats.org/drawingml/2006/main">
              <a:graphicData uri="http://schemas.openxmlformats.org/drawingml/2006/picture">
                <pic:pic xmlns:pic="http://schemas.openxmlformats.org/drawingml/2006/picture">
                  <pic:nvPicPr>
                    <pic:cNvPr id="10" name="图片 10" descr="建行杯获奖证书"/>
                    <pic:cNvPicPr/>
                  </pic:nvPicPr>
                  <pic:blipFill>
                    <a:blip r:embed="rId16"/>
                    <a:stretch>
                      <a:fillRect/>
                    </a:stretch>
                  </pic:blipFill>
                  <pic:spPr>
                    <a:xfrm>
                      <a:off x="0" y="0"/>
                      <a:ext cx="1259840" cy="1800225"/>
                    </a:xfrm>
                    <a:prstGeom prst="rect">
                      <a:avLst/>
                    </a:prstGeom>
                  </pic:spPr>
                </pic:pic>
              </a:graphicData>
            </a:graphic>
          </wp:inline>
        </w:drawing>
      </w:r>
    </w:p>
    <w:p w14:paraId="224EDC59">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（二）技能大赛</w:t>
      </w:r>
    </w:p>
    <w:p w14:paraId="4A103C03">
      <w:pPr>
        <w:widowControl/>
        <w:spacing w:line="360" w:lineRule="auto"/>
        <w:ind w:firstLine="480" w:firstLineChars="200"/>
        <w:jc w:val="left"/>
        <w:rPr>
          <w:rFonts w:hint="default" w:ascii="楷体_GB2312" w:hAnsi="楷体_GB2312" w:eastAsia="楷体_GB2312" w:cs="楷体_GB2312"/>
          <w:color w:val="auto"/>
          <w:kern w:val="0"/>
          <w:sz w:val="24"/>
          <w:szCs w:val="24"/>
          <w:shd w:val="clear" w:color="auto" w:fill="FFFFFF"/>
          <w:lang w:val="en-US" w:eastAsia="zh-CN" w:bidi="ar-SA"/>
        </w:rPr>
      </w:pPr>
      <w:r>
        <w:rPr>
          <w:rFonts w:hint="default" w:ascii="楷体_GB2312" w:hAnsi="楷体_GB2312" w:eastAsia="楷体_GB2312" w:cs="楷体_GB2312"/>
          <w:color w:val="auto"/>
          <w:kern w:val="0"/>
          <w:sz w:val="24"/>
          <w:szCs w:val="24"/>
          <w:shd w:val="clear" w:color="auto" w:fill="FFFFFF"/>
          <w:lang w:val="en-US" w:eastAsia="zh-CN" w:bidi="ar-SA"/>
        </w:rPr>
        <w:t>学院每年举办本专业技能大赛，按照“系赛-校赛-省赛-国赛”四级大赛体系，选拔优秀学生参加省级、国家级技能大赛，</w:t>
      </w:r>
      <w:r>
        <w:rPr>
          <w:rFonts w:hint="eastAsia" w:ascii="楷体_GB2312" w:hAnsi="楷体_GB2312" w:eastAsia="楷体_GB2312" w:cs="楷体_GB2312"/>
          <w:color w:val="auto"/>
          <w:kern w:val="0"/>
          <w:sz w:val="24"/>
          <w:szCs w:val="24"/>
          <w:shd w:val="clear" w:color="auto" w:fill="FFFFFF"/>
          <w:lang w:val="en-US" w:eastAsia="zh-CN" w:bidi="ar-SA"/>
        </w:rPr>
        <w:t>并</w:t>
      </w:r>
      <w:r>
        <w:rPr>
          <w:rFonts w:hint="default" w:ascii="楷体_GB2312" w:hAnsi="楷体_GB2312" w:eastAsia="楷体_GB2312" w:cs="楷体_GB2312"/>
          <w:color w:val="auto"/>
          <w:kern w:val="0"/>
          <w:sz w:val="24"/>
          <w:szCs w:val="24"/>
          <w:shd w:val="clear" w:color="auto" w:fill="FFFFFF"/>
          <w:lang w:val="en-US" w:eastAsia="zh-CN" w:bidi="ar-SA"/>
        </w:rPr>
        <w:t>取得了丰硕成果。</w:t>
      </w:r>
    </w:p>
    <w:p w14:paraId="7FE4923E">
      <w:pPr>
        <w:pStyle w:val="11"/>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kern w:val="2"/>
          <w:sz w:val="24"/>
          <w:szCs w:val="24"/>
          <w:highlight w:val="none"/>
          <w:lang w:val="en-US" w:eastAsia="zh-CN" w:bidi="ar-SA"/>
        </w:rPr>
      </w:pPr>
      <w:r>
        <w:drawing>
          <wp:inline distT="0" distB="0" distL="114300" distR="114300">
            <wp:extent cx="2520315" cy="1800225"/>
            <wp:effectExtent l="0" t="0" r="13335" b="9525"/>
            <wp:docPr id="45" name="图片 28"/>
            <wp:cNvGraphicFramePr/>
            <a:graphic xmlns:a="http://schemas.openxmlformats.org/drawingml/2006/main">
              <a:graphicData uri="http://schemas.openxmlformats.org/drawingml/2006/picture">
                <pic:pic xmlns:pic="http://schemas.openxmlformats.org/drawingml/2006/picture">
                  <pic:nvPicPr>
                    <pic:cNvPr id="45" name="图片 28"/>
                    <pic:cNvPicPr/>
                  </pic:nvPicPr>
                  <pic:blipFill>
                    <a:blip r:embed="rId17"/>
                    <a:stretch>
                      <a:fillRect/>
                    </a:stretch>
                  </pic:blipFill>
                  <pic:spPr>
                    <a:xfrm>
                      <a:off x="0" y="0"/>
                      <a:ext cx="2520315" cy="1800225"/>
                    </a:xfrm>
                    <a:prstGeom prst="rect">
                      <a:avLst/>
                    </a:prstGeom>
                    <a:noFill/>
                    <a:ln>
                      <a:noFill/>
                    </a:ln>
                  </pic:spPr>
                </pic:pic>
              </a:graphicData>
            </a:graphic>
          </wp:inline>
        </w:drawing>
      </w:r>
      <w:r>
        <w:drawing>
          <wp:inline distT="0" distB="0" distL="114300" distR="114300">
            <wp:extent cx="2520315" cy="1800225"/>
            <wp:effectExtent l="0" t="0" r="13335" b="9525"/>
            <wp:docPr id="46" name="图片 29"/>
            <wp:cNvGraphicFramePr/>
            <a:graphic xmlns:a="http://schemas.openxmlformats.org/drawingml/2006/main">
              <a:graphicData uri="http://schemas.openxmlformats.org/drawingml/2006/picture">
                <pic:pic xmlns:pic="http://schemas.openxmlformats.org/drawingml/2006/picture">
                  <pic:nvPicPr>
                    <pic:cNvPr id="46" name="图片 29"/>
                    <pic:cNvPicPr/>
                  </pic:nvPicPr>
                  <pic:blipFill>
                    <a:blip r:embed="rId18"/>
                    <a:stretch>
                      <a:fillRect/>
                    </a:stretch>
                  </pic:blipFill>
                  <pic:spPr>
                    <a:xfrm>
                      <a:off x="0" y="0"/>
                      <a:ext cx="2520315" cy="1800225"/>
                    </a:xfrm>
                    <a:prstGeom prst="rect">
                      <a:avLst/>
                    </a:prstGeom>
                    <a:noFill/>
                    <a:ln>
                      <a:noFill/>
                    </a:ln>
                  </pic:spPr>
                </pic:pic>
              </a:graphicData>
            </a:graphic>
          </wp:inline>
        </w:drawing>
      </w:r>
    </w:p>
    <w:p w14:paraId="647D723E">
      <w:pPr>
        <w:pStyle w:val="11"/>
        <w:keepNext w:val="0"/>
        <w:keepLines w:val="0"/>
        <w:pageBreakBefore w:val="0"/>
        <w:numPr>
          <w:ilvl w:val="0"/>
          <w:numId w:val="0"/>
        </w:numPr>
        <w:kinsoku/>
        <w:wordWrap/>
        <w:overflowPunct/>
        <w:topLinePunct w:val="0"/>
        <w:autoSpaceDE/>
        <w:autoSpaceDN/>
        <w:bidi w:val="0"/>
        <w:adjustRightInd/>
        <w:snapToGrid/>
        <w:spacing w:line="360" w:lineRule="auto"/>
        <w:textAlignment w:val="auto"/>
      </w:pPr>
      <w:r>
        <w:rPr>
          <w:rFonts w:hint="eastAsia" w:eastAsiaTheme="minorEastAsia"/>
          <w:vertAlign w:val="baseline"/>
          <w:lang w:eastAsia="zh-CN"/>
        </w:rPr>
        <w:drawing>
          <wp:inline distT="0" distB="0" distL="114300" distR="114300">
            <wp:extent cx="1800225" cy="2520315"/>
            <wp:effectExtent l="0" t="0" r="13335" b="9525"/>
            <wp:docPr id="22" name="图片 22" descr="技能兴鲁物流比赛三等奖证书"/>
            <wp:cNvGraphicFramePr/>
            <a:graphic xmlns:a="http://schemas.openxmlformats.org/drawingml/2006/main">
              <a:graphicData uri="http://schemas.openxmlformats.org/drawingml/2006/picture">
                <pic:pic xmlns:pic="http://schemas.openxmlformats.org/drawingml/2006/picture">
                  <pic:nvPicPr>
                    <pic:cNvPr id="22" name="图片 22" descr="技能兴鲁物流比赛三等奖证书"/>
                    <pic:cNvPicPr/>
                  </pic:nvPicPr>
                  <pic:blipFill>
                    <a:blip r:embed="rId19"/>
                    <a:stretch>
                      <a:fillRect/>
                    </a:stretch>
                  </pic:blipFill>
                  <pic:spPr>
                    <a:xfrm rot="5400000">
                      <a:off x="0" y="0"/>
                      <a:ext cx="1800225" cy="2520315"/>
                    </a:xfrm>
                    <a:prstGeom prst="rect">
                      <a:avLst/>
                    </a:prstGeom>
                  </pic:spPr>
                </pic:pic>
              </a:graphicData>
            </a:graphic>
          </wp:inline>
        </w:drawing>
      </w:r>
      <w:r>
        <w:drawing>
          <wp:inline distT="0" distB="0" distL="114300" distR="114300">
            <wp:extent cx="2520315" cy="1800225"/>
            <wp:effectExtent l="0" t="0" r="13335" b="9525"/>
            <wp:docPr id="23" name="图片 1"/>
            <wp:cNvGraphicFramePr/>
            <a:graphic xmlns:a="http://schemas.openxmlformats.org/drawingml/2006/main">
              <a:graphicData uri="http://schemas.openxmlformats.org/drawingml/2006/picture">
                <pic:pic xmlns:pic="http://schemas.openxmlformats.org/drawingml/2006/picture">
                  <pic:nvPicPr>
                    <pic:cNvPr id="23" name="图片 1"/>
                    <pic:cNvPicPr/>
                  </pic:nvPicPr>
                  <pic:blipFill>
                    <a:blip r:embed="rId20"/>
                    <a:stretch>
                      <a:fillRect/>
                    </a:stretch>
                  </pic:blipFill>
                  <pic:spPr>
                    <a:xfrm>
                      <a:off x="0" y="0"/>
                      <a:ext cx="2520315" cy="1800225"/>
                    </a:xfrm>
                    <a:prstGeom prst="rect">
                      <a:avLst/>
                    </a:prstGeom>
                    <a:noFill/>
                    <a:ln>
                      <a:noFill/>
                    </a:ln>
                  </pic:spPr>
                </pic:pic>
              </a:graphicData>
            </a:graphic>
          </wp:inline>
        </w:drawing>
      </w:r>
    </w:p>
    <w:p w14:paraId="63C48095">
      <w:pPr>
        <w:widowControl/>
        <w:spacing w:line="360" w:lineRule="auto"/>
        <w:jc w:val="left"/>
        <w:rPr>
          <w:rFonts w:hint="eastAsia" w:ascii="楷体_GB2312" w:hAnsi="楷体_GB2312" w:eastAsia="楷体_GB2312" w:cs="楷体_GB2312"/>
          <w:color w:val="auto"/>
          <w:kern w:val="0"/>
          <w:sz w:val="24"/>
          <w:szCs w:val="24"/>
          <w:shd w:val="clear" w:color="auto" w:fill="FFFFFF"/>
          <w:lang w:val="en-US" w:eastAsia="zh-CN" w:bidi="ar-SA"/>
        </w:rPr>
      </w:pPr>
      <w:r>
        <w:drawing>
          <wp:inline distT="0" distB="0" distL="114300" distR="114300">
            <wp:extent cx="2520315" cy="1800225"/>
            <wp:effectExtent l="0" t="0" r="13335" b="9525"/>
            <wp:docPr id="24" name="图片 10"/>
            <wp:cNvGraphicFramePr/>
            <a:graphic xmlns:a="http://schemas.openxmlformats.org/drawingml/2006/main">
              <a:graphicData uri="http://schemas.openxmlformats.org/drawingml/2006/picture">
                <pic:pic xmlns:pic="http://schemas.openxmlformats.org/drawingml/2006/picture">
                  <pic:nvPicPr>
                    <pic:cNvPr id="24" name="图片 10"/>
                    <pic:cNvPicPr/>
                  </pic:nvPicPr>
                  <pic:blipFill>
                    <a:blip r:embed="rId21"/>
                    <a:stretch>
                      <a:fillRect/>
                    </a:stretch>
                  </pic:blipFill>
                  <pic:spPr>
                    <a:xfrm>
                      <a:off x="0" y="0"/>
                      <a:ext cx="2520315" cy="1800225"/>
                    </a:xfrm>
                    <a:prstGeom prst="rect">
                      <a:avLst/>
                    </a:prstGeom>
                    <a:noFill/>
                    <a:ln>
                      <a:noFill/>
                    </a:ln>
                  </pic:spPr>
                </pic:pic>
              </a:graphicData>
            </a:graphic>
          </wp:inline>
        </w:drawing>
      </w:r>
      <w:r>
        <w:drawing>
          <wp:inline distT="0" distB="0" distL="114300" distR="114300">
            <wp:extent cx="2520315" cy="1800225"/>
            <wp:effectExtent l="0" t="0" r="13335" b="9525"/>
            <wp:docPr id="26" name="图片 12"/>
            <wp:cNvGraphicFramePr/>
            <a:graphic xmlns:a="http://schemas.openxmlformats.org/drawingml/2006/main">
              <a:graphicData uri="http://schemas.openxmlformats.org/drawingml/2006/picture">
                <pic:pic xmlns:pic="http://schemas.openxmlformats.org/drawingml/2006/picture">
                  <pic:nvPicPr>
                    <pic:cNvPr id="26" name="图片 12"/>
                    <pic:cNvPicPr/>
                  </pic:nvPicPr>
                  <pic:blipFill>
                    <a:blip r:embed="rId22"/>
                    <a:stretch>
                      <a:fillRect/>
                    </a:stretch>
                  </pic:blipFill>
                  <pic:spPr>
                    <a:xfrm>
                      <a:off x="0" y="0"/>
                      <a:ext cx="2520315" cy="1800225"/>
                    </a:xfrm>
                    <a:prstGeom prst="rect">
                      <a:avLst/>
                    </a:prstGeom>
                    <a:noFill/>
                    <a:ln>
                      <a:noFill/>
                    </a:ln>
                  </pic:spPr>
                </pic:pic>
              </a:graphicData>
            </a:graphic>
          </wp:inline>
        </w:drawing>
      </w:r>
      <w:r>
        <w:rPr>
          <w:rFonts w:hint="eastAsia" w:ascii="楷体_GB2312" w:hAnsi="楷体_GB2312" w:eastAsia="楷体_GB2312" w:cs="楷体_GB2312"/>
          <w:color w:val="auto"/>
          <w:kern w:val="0"/>
          <w:sz w:val="24"/>
          <w:szCs w:val="24"/>
          <w:shd w:val="clear" w:color="auto" w:fill="FFFFFF"/>
          <w:lang w:val="en-US" w:eastAsia="zh-CN" w:bidi="ar-SA"/>
        </w:rPr>
        <w:t>3.</w:t>
      </w:r>
    </w:p>
    <w:p w14:paraId="22813B34">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（三）学历提升情况</w:t>
      </w:r>
    </w:p>
    <w:p w14:paraId="19BF23C6">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毕业生可选择专升本继续深造，主要对接生物技术、生物制药、药学、中药学等医药类专业，也可</w:t>
      </w:r>
      <w:r>
        <w:rPr>
          <w:rFonts w:hint="default" w:ascii="楷体_GB2312" w:hAnsi="楷体_GB2312" w:eastAsia="楷体_GB2312" w:cs="楷体_GB2312"/>
          <w:color w:val="auto"/>
          <w:kern w:val="0"/>
          <w:sz w:val="24"/>
          <w:szCs w:val="24"/>
          <w:shd w:val="clear" w:color="auto" w:fill="FFFFFF"/>
          <w:lang w:val="en-US" w:eastAsia="zh-CN" w:bidi="ar-SA"/>
        </w:rPr>
        <w:t>选择工商管理、市场营销、健康服务与管理、现代物流管理、电子商务等管理类专业拓展发展空间。根据教育厅发布的升本专业目录文件，报考相关升本专业。目前山东省</w:t>
      </w:r>
      <w:r>
        <w:rPr>
          <w:rFonts w:hint="eastAsia" w:ascii="楷体_GB2312" w:hAnsi="楷体_GB2312" w:eastAsia="楷体_GB2312" w:cs="楷体_GB2312"/>
          <w:color w:val="auto"/>
          <w:kern w:val="0"/>
          <w:sz w:val="24"/>
          <w:szCs w:val="24"/>
          <w:shd w:val="clear" w:color="auto" w:fill="FFFFFF"/>
          <w:lang w:val="en-US" w:eastAsia="zh-CN" w:bidi="ar-SA"/>
        </w:rPr>
        <w:t>药品经营与管理</w:t>
      </w:r>
      <w:r>
        <w:rPr>
          <w:rFonts w:hint="default" w:ascii="楷体_GB2312" w:hAnsi="楷体_GB2312" w:eastAsia="楷体_GB2312" w:cs="楷体_GB2312"/>
          <w:color w:val="auto"/>
          <w:kern w:val="0"/>
          <w:sz w:val="24"/>
          <w:szCs w:val="24"/>
          <w:shd w:val="clear" w:color="auto" w:fill="FFFFFF"/>
          <w:lang w:val="en-US" w:eastAsia="zh-CN" w:bidi="ar-SA"/>
        </w:rPr>
        <w:t>专业专升本院校有：</w:t>
      </w:r>
      <w:r>
        <w:rPr>
          <w:rFonts w:hint="eastAsia" w:ascii="楷体_GB2312" w:hAnsi="楷体_GB2312" w:eastAsia="楷体_GB2312" w:cs="楷体_GB2312"/>
          <w:color w:val="auto"/>
          <w:kern w:val="0"/>
          <w:sz w:val="24"/>
          <w:szCs w:val="24"/>
          <w:shd w:val="clear" w:color="auto" w:fill="FFFFFF"/>
          <w:lang w:val="en-US" w:eastAsia="zh-CN" w:bidi="ar-SA"/>
        </w:rPr>
        <w:t>山东女子学院、</w:t>
      </w:r>
      <w:r>
        <w:rPr>
          <w:rFonts w:hint="default" w:ascii="楷体_GB2312" w:hAnsi="楷体_GB2312" w:eastAsia="楷体_GB2312" w:cs="楷体_GB2312"/>
          <w:color w:val="auto"/>
          <w:kern w:val="0"/>
          <w:sz w:val="24"/>
          <w:szCs w:val="24"/>
          <w:shd w:val="clear" w:color="auto" w:fill="FFFFFF"/>
          <w:lang w:val="en-US" w:eastAsia="zh-CN" w:bidi="ar-SA"/>
        </w:rPr>
        <w:t>临沂大学、</w:t>
      </w:r>
      <w:r>
        <w:rPr>
          <w:rFonts w:hint="eastAsia" w:ascii="楷体_GB2312" w:hAnsi="楷体_GB2312" w:eastAsia="楷体_GB2312" w:cs="楷体_GB2312"/>
          <w:color w:val="auto"/>
          <w:kern w:val="0"/>
          <w:sz w:val="24"/>
          <w:szCs w:val="24"/>
          <w:shd w:val="clear" w:color="auto" w:fill="FFFFFF"/>
          <w:lang w:val="en-US" w:eastAsia="zh-CN" w:bidi="ar-SA"/>
        </w:rPr>
        <w:t>枣庄学院、德州学院、济宁学院、泰山学院、山东工程职业技术大学、山东外国语职业技术大学、山东外事职业大学、烟台理工学院、</w:t>
      </w:r>
      <w:r>
        <w:rPr>
          <w:rFonts w:hint="default" w:ascii="楷体_GB2312" w:hAnsi="楷体_GB2312" w:eastAsia="楷体_GB2312" w:cs="楷体_GB2312"/>
          <w:color w:val="auto"/>
          <w:kern w:val="0"/>
          <w:sz w:val="24"/>
          <w:szCs w:val="24"/>
          <w:shd w:val="clear" w:color="auto" w:fill="FFFFFF"/>
          <w:lang w:val="en-US" w:eastAsia="zh-CN" w:bidi="ar-SA"/>
        </w:rPr>
        <w:t>齐鲁医药学院</w:t>
      </w:r>
      <w:r>
        <w:rPr>
          <w:rFonts w:hint="eastAsia" w:ascii="楷体_GB2312" w:hAnsi="楷体_GB2312" w:eastAsia="楷体_GB2312" w:cs="楷体_GB2312"/>
          <w:color w:val="auto"/>
          <w:kern w:val="0"/>
          <w:sz w:val="24"/>
          <w:szCs w:val="24"/>
          <w:shd w:val="clear" w:color="auto" w:fill="FFFFFF"/>
          <w:lang w:val="en-US" w:eastAsia="zh-CN" w:bidi="ar-SA"/>
        </w:rPr>
        <w:t>等院校</w:t>
      </w:r>
      <w:r>
        <w:rPr>
          <w:rFonts w:hint="default" w:ascii="楷体_GB2312" w:hAnsi="楷体_GB2312" w:eastAsia="楷体_GB2312" w:cs="楷体_GB2312"/>
          <w:color w:val="auto"/>
          <w:kern w:val="0"/>
          <w:sz w:val="24"/>
          <w:szCs w:val="24"/>
          <w:shd w:val="clear" w:color="auto" w:fill="FFFFFF"/>
          <w:lang w:val="en-US" w:eastAsia="zh-CN" w:bidi="ar-SA"/>
        </w:rPr>
        <w:t>。</w:t>
      </w:r>
    </w:p>
    <w:p w14:paraId="1F88BB21">
      <w:pPr>
        <w:widowControl/>
        <w:spacing w:line="360" w:lineRule="auto"/>
        <w:jc w:val="left"/>
        <w:rPr>
          <w:rStyle w:val="10"/>
          <w:rFonts w:hint="eastAsia"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val="en-US" w:eastAsia="zh-CN" w:bidi="ar"/>
        </w:rPr>
        <w:t>七、</w:t>
      </w:r>
      <w:r>
        <w:rPr>
          <w:rStyle w:val="10"/>
          <w:rFonts w:hint="eastAsia" w:ascii="楷体_GB2312" w:hAnsi="楷体_GB2312" w:eastAsia="楷体_GB2312" w:cs="楷体_GB2312"/>
          <w:bCs/>
          <w:color w:val="auto"/>
          <w:spacing w:val="8"/>
          <w:kern w:val="0"/>
          <w:sz w:val="24"/>
          <w:szCs w:val="24"/>
          <w:shd w:val="clear" w:color="auto" w:fill="FFFFFF"/>
          <w:lang w:eastAsia="zh-CN" w:bidi="ar"/>
        </w:rPr>
        <w:t>实习与就业</w:t>
      </w:r>
    </w:p>
    <w:p w14:paraId="3EA886BE">
      <w:pPr>
        <w:pStyle w:val="7"/>
        <w:widowControl/>
        <w:spacing w:beforeAutospacing="0" w:afterAutospacing="0" w:line="360" w:lineRule="auto"/>
        <w:ind w:firstLine="480" w:firstLineChars="200"/>
        <w:jc w:val="both"/>
        <w:rPr>
          <w:rFonts w:hint="default" w:ascii="楷体_GB2312" w:hAnsi="楷体_GB2312" w:eastAsia="楷体_GB2312" w:cs="楷体_GB2312"/>
          <w:color w:val="auto"/>
          <w:shd w:val="clear" w:color="auto" w:fill="FFFFFF"/>
          <w:lang w:val="en-US" w:eastAsia="zh-CN"/>
        </w:rPr>
      </w:pPr>
      <w:r>
        <w:rPr>
          <w:rFonts w:hint="eastAsia" w:ascii="楷体_GB2312" w:hAnsi="楷体_GB2312" w:eastAsia="楷体_GB2312" w:cs="楷体_GB2312"/>
          <w:color w:val="auto"/>
          <w:shd w:val="clear" w:color="auto" w:fill="FFFFFF"/>
          <w:lang w:val="en-US" w:eastAsia="zh-CN"/>
        </w:rPr>
        <w:t>（一）</w:t>
      </w:r>
      <w:r>
        <w:rPr>
          <w:rFonts w:hint="default" w:ascii="楷体_GB2312" w:hAnsi="楷体_GB2312" w:eastAsia="楷体_GB2312" w:cs="楷体_GB2312"/>
          <w:color w:val="auto"/>
          <w:shd w:val="clear" w:color="auto" w:fill="FFFFFF"/>
          <w:lang w:val="en-US" w:eastAsia="zh-CN"/>
        </w:rPr>
        <w:t>顶岗实习</w:t>
      </w:r>
    </w:p>
    <w:p w14:paraId="0B3E6F85">
      <w:pPr>
        <w:pStyle w:val="7"/>
        <w:widowControl/>
        <w:spacing w:beforeAutospacing="0" w:afterAutospacing="0" w:line="360" w:lineRule="auto"/>
        <w:ind w:firstLine="480" w:firstLineChars="200"/>
        <w:jc w:val="both"/>
        <w:rPr>
          <w:rFonts w:hint="default" w:ascii="楷体_GB2312" w:hAnsi="楷体_GB2312" w:eastAsia="楷体_GB2312" w:cs="楷体_GB2312"/>
          <w:color w:val="auto"/>
          <w:shd w:val="clear" w:color="auto" w:fill="FFFFFF"/>
          <w:lang w:val="en-US" w:eastAsia="zh-CN"/>
        </w:rPr>
      </w:pPr>
      <w:r>
        <w:rPr>
          <w:rFonts w:hint="eastAsia" w:ascii="楷体_GB2312" w:hAnsi="楷体_GB2312" w:eastAsia="楷体_GB2312" w:cs="楷体_GB2312"/>
          <w:color w:val="auto"/>
          <w:shd w:val="clear" w:color="auto" w:fill="FFFFFF"/>
        </w:rPr>
        <w:t>学院地处省会济南，实习条件优越，</w:t>
      </w:r>
      <w:r>
        <w:rPr>
          <w:rFonts w:hint="eastAsia" w:ascii="楷体_GB2312" w:hAnsi="楷体_GB2312" w:eastAsia="楷体_GB2312" w:cs="楷体_GB2312"/>
          <w:color w:val="auto"/>
          <w:shd w:val="clear" w:color="auto" w:fill="FFFFFF"/>
          <w:lang w:val="en-US" w:eastAsia="zh-CN"/>
        </w:rPr>
        <w:t>有漱玉平民大药房连锁股份公司、济南方成药品零售有限公司、济南平嘉大药房有限公司、济南海州大药房有限公司、</w:t>
      </w:r>
      <w:r>
        <w:rPr>
          <w:rFonts w:hint="default" w:ascii="楷体_GB2312" w:hAnsi="楷体_GB2312" w:eastAsia="楷体_GB2312" w:cs="楷体_GB2312"/>
          <w:color w:val="auto"/>
          <w:shd w:val="clear" w:color="auto" w:fill="FFFFFF"/>
          <w:lang w:val="en-US" w:eastAsia="zh-CN"/>
        </w:rPr>
        <w:t>山东海王医药集团有限公司、济南立健大药房有限公司、仁华医药集团股份有限公司、</w:t>
      </w:r>
      <w:r>
        <w:rPr>
          <w:rFonts w:hint="eastAsia" w:ascii="楷体_GB2312" w:hAnsi="楷体_GB2312" w:eastAsia="楷体_GB2312" w:cs="楷体_GB2312"/>
          <w:color w:val="auto"/>
          <w:shd w:val="clear" w:color="auto" w:fill="FFFFFF"/>
          <w:lang w:val="en-US" w:eastAsia="zh-CN"/>
        </w:rPr>
        <w:t>齐鲁制药有限公司、山东鲁抗医药股份有限公司、鲁南制药集团股份有限公司、山东宏济堂制药集团股份有限公司、山东新华制药股份有限公司等数十家医药企业</w:t>
      </w:r>
      <w:r>
        <w:rPr>
          <w:rFonts w:hint="eastAsia" w:ascii="楷体_GB2312" w:hAnsi="楷体_GB2312" w:eastAsia="楷体_GB2312" w:cs="楷体_GB2312"/>
          <w:color w:val="auto"/>
          <w:shd w:val="clear" w:color="auto" w:fill="FFFFFF"/>
        </w:rPr>
        <w:t>作为稳定的校外实习基地，有效地保障了毕业实习质量。</w:t>
      </w:r>
      <w:r>
        <w:rPr>
          <w:rFonts w:hint="default" w:ascii="楷体_GB2312" w:hAnsi="楷体_GB2312" w:eastAsia="楷体_GB2312" w:cs="楷体_GB2312"/>
          <w:color w:val="auto"/>
          <w:shd w:val="clear" w:color="auto" w:fill="FFFFFF"/>
          <w:lang w:val="en-US" w:eastAsia="zh-CN"/>
        </w:rPr>
        <w:t>本专业学生顶岗实习由学院统一安排，</w:t>
      </w:r>
      <w:r>
        <w:rPr>
          <w:rFonts w:hint="eastAsia" w:ascii="楷体_GB2312" w:hAnsi="楷体_GB2312" w:eastAsia="楷体_GB2312" w:cs="楷体_GB2312"/>
          <w:color w:val="auto"/>
          <w:shd w:val="clear" w:color="auto" w:fill="FFFFFF"/>
          <w:lang w:val="en-US" w:eastAsia="zh-CN"/>
        </w:rPr>
        <w:t>学院</w:t>
      </w:r>
      <w:r>
        <w:rPr>
          <w:rFonts w:hint="default" w:ascii="楷体_GB2312" w:hAnsi="楷体_GB2312" w:eastAsia="楷体_GB2312" w:cs="楷体_GB2312"/>
          <w:color w:val="auto"/>
          <w:shd w:val="clear" w:color="auto" w:fill="FFFFFF"/>
          <w:lang w:val="en-US" w:eastAsia="zh-CN"/>
        </w:rPr>
        <w:t>本着对学生负责的态度，精选定岗实习单位，制定实习管理制度保证实习期间的权益。一般顶岗</w:t>
      </w:r>
      <w:r>
        <w:rPr>
          <w:rFonts w:hint="eastAsia" w:ascii="楷体_GB2312" w:hAnsi="楷体_GB2312" w:eastAsia="楷体_GB2312" w:cs="楷体_GB2312"/>
          <w:color w:val="auto"/>
          <w:shd w:val="clear" w:color="auto" w:fill="FFFFFF"/>
        </w:rPr>
        <w:t>实习期间企业按月发放实习津贴</w:t>
      </w:r>
      <w:r>
        <w:rPr>
          <w:rFonts w:hint="default" w:ascii="楷体_GB2312" w:hAnsi="楷体_GB2312" w:eastAsia="楷体_GB2312" w:cs="楷体_GB2312"/>
          <w:color w:val="auto"/>
          <w:shd w:val="clear" w:color="auto" w:fill="FFFFFF"/>
          <w:lang w:val="en-US" w:eastAsia="zh-CN"/>
        </w:rPr>
        <w:t>。</w:t>
      </w:r>
    </w:p>
    <w:p w14:paraId="414BA98B">
      <w:pPr>
        <w:pStyle w:val="7"/>
        <w:widowControl/>
        <w:spacing w:beforeAutospacing="0" w:afterAutospacing="0" w:line="360" w:lineRule="auto"/>
        <w:ind w:firstLine="480" w:firstLineChars="200"/>
        <w:jc w:val="both"/>
        <w:rPr>
          <w:rFonts w:hint="default" w:ascii="楷体_GB2312" w:hAnsi="楷体_GB2312" w:eastAsia="楷体_GB2312" w:cs="楷体_GB2312"/>
          <w:color w:val="auto"/>
          <w:shd w:val="clear" w:color="auto" w:fill="FFFFFF"/>
          <w:lang w:val="en-US" w:eastAsia="zh-CN"/>
        </w:rPr>
      </w:pPr>
      <w:r>
        <w:rPr>
          <w:rFonts w:hint="eastAsia" w:ascii="楷体_GB2312" w:hAnsi="楷体_GB2312" w:eastAsia="楷体_GB2312" w:cs="楷体_GB2312"/>
          <w:color w:val="auto"/>
          <w:shd w:val="clear" w:color="auto" w:fill="FFFFFF"/>
          <w:lang w:val="en-US" w:eastAsia="zh-CN"/>
        </w:rPr>
        <w:t>（二）</w:t>
      </w:r>
      <w:r>
        <w:rPr>
          <w:rFonts w:hint="default" w:ascii="楷体_GB2312" w:hAnsi="楷体_GB2312" w:eastAsia="楷体_GB2312" w:cs="楷体_GB2312"/>
          <w:color w:val="auto"/>
          <w:shd w:val="clear" w:color="auto" w:fill="FFFFFF"/>
          <w:lang w:val="en-US" w:eastAsia="zh-CN"/>
        </w:rPr>
        <w:t>就业</w:t>
      </w:r>
      <w:r>
        <w:rPr>
          <w:rFonts w:hint="eastAsia" w:ascii="楷体_GB2312" w:hAnsi="楷体_GB2312" w:eastAsia="楷体_GB2312" w:cs="楷体_GB2312"/>
          <w:color w:val="auto"/>
          <w:shd w:val="clear" w:color="auto" w:fill="FFFFFF"/>
          <w:lang w:val="en-US" w:eastAsia="zh-CN"/>
        </w:rPr>
        <w:t>方向</w:t>
      </w:r>
    </w:p>
    <w:p w14:paraId="6DAE2194">
      <w:pPr>
        <w:pStyle w:val="7"/>
        <w:widowControl/>
        <w:spacing w:beforeAutospacing="0" w:afterAutospacing="0" w:line="360" w:lineRule="auto"/>
        <w:ind w:firstLine="480" w:firstLineChars="200"/>
        <w:jc w:val="both"/>
        <w:rPr>
          <w:rFonts w:hint="default" w:ascii="楷体_GB2312" w:hAnsi="楷体_GB2312" w:eastAsia="楷体_GB2312" w:cs="楷体_GB2312"/>
          <w:color w:val="auto"/>
          <w:shd w:val="clear" w:color="auto" w:fill="FFFFFF"/>
          <w:lang w:val="en-US" w:eastAsia="zh-CN"/>
        </w:rPr>
      </w:pPr>
      <w:r>
        <w:rPr>
          <w:rFonts w:hint="eastAsia" w:ascii="楷体_GB2312" w:hAnsi="楷体_GB2312" w:eastAsia="楷体_GB2312" w:cs="楷体_GB2312"/>
          <w:color w:val="auto"/>
          <w:shd w:val="clear" w:color="auto" w:fill="FFFFFF"/>
          <w:lang w:val="en-US" w:eastAsia="zh-CN"/>
        </w:rPr>
        <w:t>面向医药生产、医药经营、医药电商平台等行业企业的药师、医药代表、互联网营销师、医药商品购销员、健康管理师、物流服务师等职业，能够从事药品采购、药品销售与服务、用药咨询与指导、药品储存与运输管理、药品质量管理、药店运营管理、互联网营销等工作</w:t>
      </w:r>
      <w:r>
        <w:rPr>
          <w:rFonts w:hint="default" w:ascii="楷体_GB2312" w:hAnsi="楷体_GB2312" w:eastAsia="楷体_GB2312" w:cs="楷体_GB2312"/>
          <w:color w:val="auto"/>
          <w:shd w:val="clear" w:color="auto" w:fill="FFFFFF"/>
          <w:lang w:val="en-US" w:eastAsia="zh-CN"/>
        </w:rPr>
        <w:t>。</w:t>
      </w:r>
    </w:p>
    <w:p w14:paraId="33A8ADE7">
      <w:pPr>
        <w:widowControl/>
        <w:numPr>
          <w:ilvl w:val="0"/>
          <w:numId w:val="0"/>
        </w:numPr>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Theme="minorEastAsia" w:hAnsiTheme="minorEastAsia" w:eastAsiaTheme="minorEastAsia" w:cstheme="minorEastAsia"/>
          <w:kern w:val="2"/>
          <w:sz w:val="24"/>
          <w:szCs w:val="24"/>
          <w:lang w:val="en-US" w:eastAsia="zh-CN" w:bidi="ar-SA"/>
        </w:rPr>
        <w:t>（三）</w:t>
      </w:r>
      <w:r>
        <w:rPr>
          <w:rFonts w:hint="eastAsia" w:ascii="楷体_GB2312" w:hAnsi="楷体_GB2312" w:eastAsia="楷体_GB2312" w:cs="楷体_GB2312"/>
          <w:color w:val="auto"/>
          <w:kern w:val="0"/>
          <w:sz w:val="24"/>
          <w:szCs w:val="24"/>
          <w:shd w:val="clear" w:color="auto" w:fill="FFFFFF"/>
          <w:lang w:val="en-US" w:eastAsia="zh-CN" w:bidi="ar-SA"/>
        </w:rPr>
        <w:t>学生就业情况</w:t>
      </w:r>
    </w:p>
    <w:p w14:paraId="41B38DD5">
      <w:pPr>
        <w:pStyle w:val="7"/>
        <w:widowControl/>
        <w:spacing w:beforeAutospacing="0" w:afterAutospacing="0" w:line="360" w:lineRule="auto"/>
        <w:ind w:firstLine="480" w:firstLineChars="200"/>
        <w:jc w:val="both"/>
        <w:rPr>
          <w:rFonts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药学</w:t>
      </w:r>
      <w:r>
        <w:rPr>
          <w:rFonts w:hint="eastAsia" w:ascii="楷体_GB2312" w:hAnsi="楷体_GB2312" w:eastAsia="楷体_GB2312" w:cs="楷体_GB2312"/>
          <w:color w:val="auto"/>
          <w:shd w:val="clear" w:color="auto" w:fill="FFFFFF"/>
          <w:lang w:val="en-US" w:eastAsia="zh-CN"/>
        </w:rPr>
        <w:t>系</w:t>
      </w:r>
      <w:r>
        <w:rPr>
          <w:rFonts w:hint="eastAsia" w:ascii="楷体_GB2312" w:hAnsi="楷体_GB2312" w:eastAsia="楷体_GB2312" w:cs="楷体_GB2312"/>
          <w:color w:val="auto"/>
          <w:shd w:val="clear" w:color="auto" w:fill="FFFFFF"/>
        </w:rPr>
        <w:t>专业每年向医疗机构以及药品生产经营等相关单位输送大批优秀毕业生，学生们以扎实的基本功和优秀的品质赢得用人单位的认可。</w:t>
      </w:r>
    </w:p>
    <w:p w14:paraId="7AB0FE4C">
      <w:pPr>
        <w:pStyle w:val="7"/>
        <w:widowControl/>
        <w:spacing w:beforeAutospacing="0" w:afterAutospacing="0" w:line="360" w:lineRule="auto"/>
        <w:ind w:firstLine="480" w:firstLineChars="200"/>
        <w:jc w:val="both"/>
        <w:rPr>
          <w:rFonts w:hint="default" w:asciiTheme="minorEastAsia" w:hAnsiTheme="minorEastAsia" w:eastAsiaTheme="minorEastAsia" w:cstheme="minorEastAsia"/>
          <w:kern w:val="2"/>
          <w:sz w:val="24"/>
          <w:szCs w:val="24"/>
          <w:lang w:val="en-US" w:eastAsia="zh-CN" w:bidi="ar-SA"/>
        </w:rPr>
      </w:pPr>
      <w:r>
        <w:rPr>
          <w:rFonts w:hint="eastAsia" w:ascii="楷体_GB2312" w:hAnsi="楷体_GB2312" w:eastAsia="楷体_GB2312" w:cs="楷体_GB2312"/>
          <w:color w:val="auto"/>
          <w:shd w:val="clear" w:color="auto" w:fill="FFFFFF"/>
        </w:rPr>
        <w:t>学院建有完善的就业保障体系，在积极推动“实习与就业高度融合”的基础上，积极拓展就业新途径、新渠道，确保毕业生专业对口就业率</w:t>
      </w:r>
      <w:r>
        <w:rPr>
          <w:rFonts w:hint="eastAsia" w:ascii="楷体_GB2312" w:hAnsi="楷体_GB2312" w:eastAsia="楷体_GB2312" w:cs="楷体_GB2312"/>
          <w:color w:val="auto"/>
          <w:shd w:val="clear" w:color="auto" w:fill="FFFFFF"/>
          <w:lang w:val="en-US" w:eastAsia="zh-CN"/>
        </w:rPr>
        <w:t>保持在</w:t>
      </w:r>
      <w:bookmarkStart w:id="1" w:name="_GoBack"/>
      <w:bookmarkEnd w:id="1"/>
      <w:r>
        <w:rPr>
          <w:rFonts w:hint="eastAsia" w:ascii="楷体_GB2312" w:hAnsi="楷体_GB2312" w:eastAsia="楷体_GB2312" w:cs="楷体_GB2312"/>
          <w:color w:val="auto"/>
          <w:shd w:val="clear" w:color="auto" w:fill="FFFFFF"/>
        </w:rPr>
        <w:t>95%以上。</w:t>
      </w:r>
    </w:p>
    <w:p w14:paraId="6A04DCEB">
      <w:pPr>
        <w:pStyle w:val="11"/>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Style w:val="10"/>
          <w:rFonts w:hint="eastAsia" w:ascii="楷体_GB2312" w:hAnsi="楷体_GB2312" w:eastAsia="楷体_GB2312" w:cs="楷体_GB2312"/>
          <w:bCs/>
          <w:color w:val="auto"/>
          <w:spacing w:val="8"/>
          <w:kern w:val="0"/>
          <w:sz w:val="24"/>
          <w:szCs w:val="24"/>
          <w:shd w:val="clear" w:color="auto" w:fill="FFFFFF"/>
          <w:lang w:val="en-US" w:eastAsia="zh-CN" w:bidi="ar"/>
        </w:rPr>
      </w:pPr>
      <w:r>
        <w:drawing>
          <wp:inline distT="0" distB="0" distL="114300" distR="114300">
            <wp:extent cx="2520315" cy="1800225"/>
            <wp:effectExtent l="0" t="0" r="13335" b="9525"/>
            <wp:docPr id="38" name="图片 21"/>
            <wp:cNvGraphicFramePr/>
            <a:graphic xmlns:a="http://schemas.openxmlformats.org/drawingml/2006/main">
              <a:graphicData uri="http://schemas.openxmlformats.org/drawingml/2006/picture">
                <pic:pic xmlns:pic="http://schemas.openxmlformats.org/drawingml/2006/picture">
                  <pic:nvPicPr>
                    <pic:cNvPr id="38" name="图片 21"/>
                    <pic:cNvPicPr/>
                  </pic:nvPicPr>
                  <pic:blipFill>
                    <a:blip r:embed="rId23"/>
                    <a:stretch>
                      <a:fillRect/>
                    </a:stretch>
                  </pic:blipFill>
                  <pic:spPr>
                    <a:xfrm>
                      <a:off x="0" y="0"/>
                      <a:ext cx="2520315" cy="1800225"/>
                    </a:xfrm>
                    <a:prstGeom prst="rect">
                      <a:avLst/>
                    </a:prstGeom>
                    <a:noFill/>
                    <a:ln>
                      <a:noFill/>
                    </a:ln>
                  </pic:spPr>
                </pic:pic>
              </a:graphicData>
            </a:graphic>
          </wp:inline>
        </w:drawing>
      </w:r>
      <w:r>
        <w:drawing>
          <wp:inline distT="0" distB="0" distL="114300" distR="114300">
            <wp:extent cx="2520315" cy="1800225"/>
            <wp:effectExtent l="0" t="0" r="13335" b="9525"/>
            <wp:docPr id="42" name="图片 25"/>
            <wp:cNvGraphicFramePr/>
            <a:graphic xmlns:a="http://schemas.openxmlformats.org/drawingml/2006/main">
              <a:graphicData uri="http://schemas.openxmlformats.org/drawingml/2006/picture">
                <pic:pic xmlns:pic="http://schemas.openxmlformats.org/drawingml/2006/picture">
                  <pic:nvPicPr>
                    <pic:cNvPr id="42" name="图片 25"/>
                    <pic:cNvPicPr/>
                  </pic:nvPicPr>
                  <pic:blipFill>
                    <a:blip r:embed="rId24"/>
                    <a:stretch>
                      <a:fillRect/>
                    </a:stretch>
                  </pic:blipFill>
                  <pic:spPr>
                    <a:xfrm>
                      <a:off x="0" y="0"/>
                      <a:ext cx="2520315" cy="1800225"/>
                    </a:xfrm>
                    <a:prstGeom prst="rect">
                      <a:avLst/>
                    </a:prstGeom>
                    <a:noFill/>
                    <a:ln>
                      <a:noFill/>
                    </a:ln>
                  </pic:spPr>
                </pic:pic>
              </a:graphicData>
            </a:graphic>
          </wp:inline>
        </w:drawing>
      </w:r>
      <w:r>
        <w:drawing>
          <wp:inline distT="0" distB="0" distL="114300" distR="114300">
            <wp:extent cx="2520315" cy="1800225"/>
            <wp:effectExtent l="0" t="0" r="13335" b="9525"/>
            <wp:docPr id="41" name="图片 24"/>
            <wp:cNvGraphicFramePr/>
            <a:graphic xmlns:a="http://schemas.openxmlformats.org/drawingml/2006/main">
              <a:graphicData uri="http://schemas.openxmlformats.org/drawingml/2006/picture">
                <pic:pic xmlns:pic="http://schemas.openxmlformats.org/drawingml/2006/picture">
                  <pic:nvPicPr>
                    <pic:cNvPr id="41" name="图片 24"/>
                    <pic:cNvPicPr/>
                  </pic:nvPicPr>
                  <pic:blipFill>
                    <a:blip r:embed="rId25"/>
                    <a:stretch>
                      <a:fillRect/>
                    </a:stretch>
                  </pic:blipFill>
                  <pic:spPr>
                    <a:xfrm>
                      <a:off x="0" y="0"/>
                      <a:ext cx="2520315" cy="1800225"/>
                    </a:xfrm>
                    <a:prstGeom prst="rect">
                      <a:avLst/>
                    </a:prstGeom>
                    <a:noFill/>
                    <a:ln>
                      <a:noFill/>
                    </a:ln>
                  </pic:spPr>
                </pic:pic>
              </a:graphicData>
            </a:graphic>
          </wp:inline>
        </w:drawing>
      </w:r>
      <w:r>
        <w:drawing>
          <wp:inline distT="0" distB="0" distL="114300" distR="114300">
            <wp:extent cx="2520315" cy="1800225"/>
            <wp:effectExtent l="0" t="0" r="13335" b="9525"/>
            <wp:docPr id="43" name="图片 26"/>
            <wp:cNvGraphicFramePr/>
            <a:graphic xmlns:a="http://schemas.openxmlformats.org/drawingml/2006/main">
              <a:graphicData uri="http://schemas.openxmlformats.org/drawingml/2006/picture">
                <pic:pic xmlns:pic="http://schemas.openxmlformats.org/drawingml/2006/picture">
                  <pic:nvPicPr>
                    <pic:cNvPr id="43" name="图片 26"/>
                    <pic:cNvPicPr/>
                  </pic:nvPicPr>
                  <pic:blipFill>
                    <a:blip r:embed="rId26"/>
                    <a:stretch>
                      <a:fillRect/>
                    </a:stretch>
                  </pic:blipFill>
                  <pic:spPr>
                    <a:xfrm>
                      <a:off x="0" y="0"/>
                      <a:ext cx="2520315" cy="1800225"/>
                    </a:xfrm>
                    <a:prstGeom prst="rect">
                      <a:avLst/>
                    </a:prstGeom>
                    <a:noFill/>
                    <a:ln>
                      <a:noFill/>
                    </a:ln>
                  </pic:spPr>
                </pic:pic>
              </a:graphicData>
            </a:graphic>
          </wp:inline>
        </w:drawing>
      </w:r>
      <w:r>
        <w:drawing>
          <wp:inline distT="0" distB="0" distL="114300" distR="114300">
            <wp:extent cx="1619885" cy="2339975"/>
            <wp:effectExtent l="0" t="0" r="18415" b="3175"/>
            <wp:docPr id="44" name="图片 27"/>
            <wp:cNvGraphicFramePr/>
            <a:graphic xmlns:a="http://schemas.openxmlformats.org/drawingml/2006/main">
              <a:graphicData uri="http://schemas.openxmlformats.org/drawingml/2006/picture">
                <pic:pic xmlns:pic="http://schemas.openxmlformats.org/drawingml/2006/picture">
                  <pic:nvPicPr>
                    <pic:cNvPr id="44" name="图片 27"/>
                    <pic:cNvPicPr/>
                  </pic:nvPicPr>
                  <pic:blipFill>
                    <a:blip r:embed="rId27"/>
                    <a:stretch>
                      <a:fillRect/>
                    </a:stretch>
                  </pic:blipFill>
                  <pic:spPr>
                    <a:xfrm>
                      <a:off x="0" y="0"/>
                      <a:ext cx="1619885" cy="23399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19885" cy="2339975"/>
            <wp:effectExtent l="0" t="0" r="18415" b="3175"/>
            <wp:docPr id="39" name="图片 22"/>
            <wp:cNvGraphicFramePr/>
            <a:graphic xmlns:a="http://schemas.openxmlformats.org/drawingml/2006/main">
              <a:graphicData uri="http://schemas.openxmlformats.org/drawingml/2006/picture">
                <pic:pic xmlns:pic="http://schemas.openxmlformats.org/drawingml/2006/picture">
                  <pic:nvPicPr>
                    <pic:cNvPr id="39" name="图片 22"/>
                    <pic:cNvPicPr/>
                  </pic:nvPicPr>
                  <pic:blipFill>
                    <a:blip r:embed="rId28"/>
                    <a:stretch>
                      <a:fillRect/>
                    </a:stretch>
                  </pic:blipFill>
                  <pic:spPr>
                    <a:xfrm>
                      <a:off x="0" y="0"/>
                      <a:ext cx="1619885" cy="23399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19885" cy="2339975"/>
            <wp:effectExtent l="0" t="0" r="18415" b="3175"/>
            <wp:docPr id="40" name="图片 23"/>
            <wp:cNvGraphicFramePr/>
            <a:graphic xmlns:a="http://schemas.openxmlformats.org/drawingml/2006/main">
              <a:graphicData uri="http://schemas.openxmlformats.org/drawingml/2006/picture">
                <pic:pic xmlns:pic="http://schemas.openxmlformats.org/drawingml/2006/picture">
                  <pic:nvPicPr>
                    <pic:cNvPr id="40" name="图片 23"/>
                    <pic:cNvPicPr/>
                  </pic:nvPicPr>
                  <pic:blipFill>
                    <a:blip r:embed="rId29"/>
                    <a:stretch>
                      <a:fillRect/>
                    </a:stretch>
                  </pic:blipFill>
                  <pic:spPr>
                    <a:xfrm>
                      <a:off x="0" y="0"/>
                      <a:ext cx="1619885" cy="2339975"/>
                    </a:xfrm>
                    <a:prstGeom prst="rect">
                      <a:avLst/>
                    </a:prstGeom>
                    <a:noFill/>
                    <a:ln>
                      <a:noFill/>
                    </a:ln>
                  </pic:spPr>
                </pic:pic>
              </a:graphicData>
            </a:graphic>
          </wp:inline>
        </w:drawing>
      </w:r>
    </w:p>
    <w:p w14:paraId="2D4CC4C5">
      <w:pPr>
        <w:widowControl/>
        <w:spacing w:line="360" w:lineRule="auto"/>
        <w:jc w:val="left"/>
        <w:rPr>
          <w:rStyle w:val="10"/>
          <w:rFonts w:hint="eastAsia"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val="en-US" w:eastAsia="zh-CN" w:bidi="ar"/>
        </w:rPr>
        <w:t>八、</w:t>
      </w:r>
      <w:r>
        <w:rPr>
          <w:rStyle w:val="10"/>
          <w:rFonts w:hint="eastAsia" w:ascii="楷体_GB2312" w:hAnsi="楷体_GB2312" w:eastAsia="楷体_GB2312" w:cs="楷体_GB2312"/>
          <w:bCs/>
          <w:color w:val="auto"/>
          <w:spacing w:val="8"/>
          <w:kern w:val="0"/>
          <w:sz w:val="24"/>
          <w:szCs w:val="24"/>
          <w:shd w:val="clear" w:color="auto" w:fill="FFFFFF"/>
          <w:lang w:eastAsia="zh-CN" w:bidi="ar"/>
        </w:rPr>
        <w:t>丰富多彩的专业校园文化活动</w:t>
      </w:r>
    </w:p>
    <w:p w14:paraId="1B2B5F78">
      <w:pPr>
        <w:pStyle w:val="11"/>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楷体_GB2312" w:hAnsi="楷体_GB2312" w:eastAsia="楷体_GB2312" w:cs="楷体_GB2312"/>
          <w:color w:val="auto"/>
          <w:shd w:val="clear" w:color="auto" w:fill="FFFFFF"/>
          <w:lang w:val="en-US" w:eastAsia="zh-CN"/>
        </w:rPr>
      </w:pPr>
      <w:r>
        <w:rPr>
          <w:rFonts w:hint="default" w:ascii="楷体_GB2312" w:hAnsi="楷体_GB2312" w:eastAsia="楷体_GB2312" w:cs="楷体_GB2312"/>
          <w:color w:val="auto"/>
          <w:shd w:val="clear" w:color="auto" w:fill="FFFFFF"/>
          <w:lang w:val="en-US" w:eastAsia="zh-CN"/>
        </w:rPr>
        <w:t>学院和系部，根据学生特点，开设各类社团，包括体育、音乐、舞蹈、书法、跆拳道、以及与专业相关的社团</w:t>
      </w:r>
      <w:r>
        <w:rPr>
          <w:rFonts w:hint="eastAsia" w:ascii="楷体_GB2312" w:hAnsi="楷体_GB2312" w:eastAsia="楷体_GB2312" w:cs="楷体_GB2312"/>
          <w:color w:val="auto"/>
          <w:shd w:val="clear" w:color="auto" w:fill="FFFFFF"/>
          <w:lang w:val="en-US" w:eastAsia="zh-CN"/>
        </w:rPr>
        <w:t>。药品经营与管理</w:t>
      </w:r>
      <w:r>
        <w:rPr>
          <w:rFonts w:hint="default" w:ascii="楷体_GB2312" w:hAnsi="楷体_GB2312" w:eastAsia="楷体_GB2312" w:cs="楷体_GB2312"/>
          <w:color w:val="auto"/>
          <w:shd w:val="clear" w:color="auto" w:fill="FFFFFF"/>
          <w:lang w:val="en-US" w:eastAsia="zh-CN"/>
        </w:rPr>
        <w:t>专业</w:t>
      </w:r>
      <w:r>
        <w:rPr>
          <w:rFonts w:hint="eastAsia" w:ascii="楷体_GB2312" w:hAnsi="楷体_GB2312" w:eastAsia="楷体_GB2312" w:cs="楷体_GB2312"/>
          <w:color w:val="auto"/>
          <w:shd w:val="clear" w:color="auto" w:fill="FFFFFF"/>
          <w:lang w:val="en-US" w:eastAsia="zh-CN"/>
        </w:rPr>
        <w:t>也会举办</w:t>
      </w:r>
      <w:r>
        <w:rPr>
          <w:rFonts w:hint="default" w:ascii="楷体_GB2312" w:hAnsi="楷体_GB2312" w:eastAsia="楷体_GB2312" w:cs="楷体_GB2312"/>
          <w:color w:val="auto"/>
          <w:shd w:val="clear" w:color="auto" w:fill="FFFFFF"/>
          <w:lang w:val="en-US" w:eastAsia="zh-CN"/>
        </w:rPr>
        <w:t>丰富多彩</w:t>
      </w:r>
      <w:r>
        <w:rPr>
          <w:rFonts w:hint="eastAsia" w:ascii="楷体_GB2312" w:hAnsi="楷体_GB2312" w:eastAsia="楷体_GB2312" w:cs="楷体_GB2312"/>
          <w:color w:val="auto"/>
          <w:shd w:val="clear" w:color="auto" w:fill="FFFFFF"/>
          <w:lang w:val="en-US" w:eastAsia="zh-CN"/>
        </w:rPr>
        <w:t>的学生活动</w:t>
      </w:r>
      <w:r>
        <w:rPr>
          <w:rFonts w:hint="default" w:ascii="楷体_GB2312" w:hAnsi="楷体_GB2312" w:eastAsia="楷体_GB2312" w:cs="楷体_GB2312"/>
          <w:color w:val="auto"/>
          <w:shd w:val="clear" w:color="auto" w:fill="FFFFFF"/>
          <w:lang w:val="en-US" w:eastAsia="zh-CN"/>
        </w:rPr>
        <w:t>，</w:t>
      </w:r>
      <w:r>
        <w:rPr>
          <w:rFonts w:hint="eastAsia" w:ascii="楷体_GB2312" w:hAnsi="楷体_GB2312" w:eastAsia="楷体_GB2312" w:cs="楷体_GB2312"/>
          <w:color w:val="auto"/>
          <w:shd w:val="clear" w:color="auto" w:fill="FFFFFF"/>
          <w:lang w:val="en-US" w:eastAsia="zh-CN"/>
        </w:rPr>
        <w:t>如专业团建</w:t>
      </w:r>
      <w:r>
        <w:rPr>
          <w:rFonts w:hint="default" w:ascii="楷体_GB2312" w:hAnsi="楷体_GB2312" w:eastAsia="楷体_GB2312" w:cs="楷体_GB2312"/>
          <w:color w:val="auto"/>
          <w:shd w:val="clear" w:color="auto" w:fill="FFFFFF"/>
          <w:lang w:val="en-US" w:eastAsia="zh-CN"/>
        </w:rPr>
        <w:t>，专家讲座等。</w:t>
      </w:r>
    </w:p>
    <w:p w14:paraId="19FC57EF">
      <w:pPr>
        <w:pStyle w:val="11"/>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2520315" cy="1800225"/>
            <wp:effectExtent l="0" t="0" r="13335" b="9525"/>
            <wp:docPr id="33" name="图片 17"/>
            <wp:cNvGraphicFramePr/>
            <a:graphic xmlns:a="http://schemas.openxmlformats.org/drawingml/2006/main">
              <a:graphicData uri="http://schemas.openxmlformats.org/drawingml/2006/picture">
                <pic:pic xmlns:pic="http://schemas.openxmlformats.org/drawingml/2006/picture">
                  <pic:nvPicPr>
                    <pic:cNvPr id="33" name="图片 17"/>
                    <pic:cNvPicPr/>
                  </pic:nvPicPr>
                  <pic:blipFill>
                    <a:blip r:embed="rId30"/>
                    <a:stretch>
                      <a:fillRect/>
                    </a:stretch>
                  </pic:blipFill>
                  <pic:spPr>
                    <a:xfrm>
                      <a:off x="0" y="0"/>
                      <a:ext cx="2520315" cy="1800225"/>
                    </a:xfrm>
                    <a:prstGeom prst="rect">
                      <a:avLst/>
                    </a:prstGeom>
                    <a:noFill/>
                    <a:ln>
                      <a:noFill/>
                    </a:ln>
                  </pic:spPr>
                </pic:pic>
              </a:graphicData>
            </a:graphic>
          </wp:inline>
        </w:drawing>
      </w:r>
      <w:r>
        <w:drawing>
          <wp:inline distT="0" distB="0" distL="114300" distR="114300">
            <wp:extent cx="2520315" cy="1800225"/>
            <wp:effectExtent l="0" t="0" r="13335" b="9525"/>
            <wp:docPr id="35" name="图片 18"/>
            <wp:cNvGraphicFramePr/>
            <a:graphic xmlns:a="http://schemas.openxmlformats.org/drawingml/2006/main">
              <a:graphicData uri="http://schemas.openxmlformats.org/drawingml/2006/picture">
                <pic:pic xmlns:pic="http://schemas.openxmlformats.org/drawingml/2006/picture">
                  <pic:nvPicPr>
                    <pic:cNvPr id="35" name="图片 18"/>
                    <pic:cNvPicPr/>
                  </pic:nvPicPr>
                  <pic:blipFill>
                    <a:blip r:embed="rId31"/>
                    <a:stretch>
                      <a:fillRect/>
                    </a:stretch>
                  </pic:blipFill>
                  <pic:spPr>
                    <a:xfrm>
                      <a:off x="0" y="0"/>
                      <a:ext cx="2520315" cy="1800225"/>
                    </a:xfrm>
                    <a:prstGeom prst="rect">
                      <a:avLst/>
                    </a:prstGeom>
                    <a:noFill/>
                    <a:ln>
                      <a:noFill/>
                    </a:ln>
                  </pic:spPr>
                </pic:pic>
              </a:graphicData>
            </a:graphic>
          </wp:inline>
        </w:drawing>
      </w:r>
    </w:p>
    <w:p w14:paraId="10A1A2DE">
      <w:pPr>
        <w:pStyle w:val="11"/>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drawing>
          <wp:inline distT="0" distB="0" distL="114300" distR="114300">
            <wp:extent cx="2520315" cy="1800225"/>
            <wp:effectExtent l="0" t="0" r="13335" b="9525"/>
            <wp:docPr id="36" name="图片 19"/>
            <wp:cNvGraphicFramePr/>
            <a:graphic xmlns:a="http://schemas.openxmlformats.org/drawingml/2006/main">
              <a:graphicData uri="http://schemas.openxmlformats.org/drawingml/2006/picture">
                <pic:pic xmlns:pic="http://schemas.openxmlformats.org/drawingml/2006/picture">
                  <pic:nvPicPr>
                    <pic:cNvPr id="36" name="图片 19"/>
                    <pic:cNvPicPr/>
                  </pic:nvPicPr>
                  <pic:blipFill>
                    <a:blip r:embed="rId32"/>
                    <a:stretch>
                      <a:fillRect/>
                    </a:stretch>
                  </pic:blipFill>
                  <pic:spPr>
                    <a:xfrm>
                      <a:off x="0" y="0"/>
                      <a:ext cx="2520315" cy="1800225"/>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2520315" cy="1800225"/>
            <wp:effectExtent l="0" t="0" r="13335" b="9525"/>
            <wp:docPr id="9" name="图片 9" descr="c7f9f802551d7f49bd496013da57e744"/>
            <wp:cNvGraphicFramePr/>
            <a:graphic xmlns:a="http://schemas.openxmlformats.org/drawingml/2006/main">
              <a:graphicData uri="http://schemas.openxmlformats.org/drawingml/2006/picture">
                <pic:pic xmlns:pic="http://schemas.openxmlformats.org/drawingml/2006/picture">
                  <pic:nvPicPr>
                    <pic:cNvPr id="9" name="图片 9" descr="c7f9f802551d7f49bd496013da57e744"/>
                    <pic:cNvPicPr/>
                  </pic:nvPicPr>
                  <pic:blipFill>
                    <a:blip r:embed="rId33"/>
                    <a:stretch>
                      <a:fillRect/>
                    </a:stretch>
                  </pic:blipFill>
                  <pic:spPr>
                    <a:xfrm>
                      <a:off x="0" y="0"/>
                      <a:ext cx="2520315" cy="1800225"/>
                    </a:xfrm>
                    <a:prstGeom prst="rect">
                      <a:avLst/>
                    </a:prstGeom>
                  </pic:spPr>
                </pic:pic>
              </a:graphicData>
            </a:graphic>
          </wp:inline>
        </w:drawing>
      </w:r>
    </w:p>
    <w:p w14:paraId="7F3060A2">
      <w:pPr>
        <w:pStyle w:val="11"/>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ascii="方正仿宋_GB2312" w:hAnsi="方正仿宋_GB2312" w:eastAsia="方正仿宋_GB2312" w:cs="方正仿宋_GB2312"/>
          <w:sz w:val="32"/>
          <w:szCs w:val="32"/>
          <w:lang w:eastAsia="zh-CN"/>
        </w:rPr>
        <w:drawing>
          <wp:inline distT="0" distB="0" distL="114300" distR="114300">
            <wp:extent cx="2520315" cy="1800225"/>
            <wp:effectExtent l="0" t="0" r="13335" b="9525"/>
            <wp:docPr id="11" name="图片 11" descr="7"/>
            <wp:cNvGraphicFramePr/>
            <a:graphic xmlns:a="http://schemas.openxmlformats.org/drawingml/2006/main">
              <a:graphicData uri="http://schemas.openxmlformats.org/drawingml/2006/picture">
                <pic:pic xmlns:pic="http://schemas.openxmlformats.org/drawingml/2006/picture">
                  <pic:nvPicPr>
                    <pic:cNvPr id="11" name="图片 11" descr="7"/>
                    <pic:cNvPicPr/>
                  </pic:nvPicPr>
                  <pic:blipFill>
                    <a:blip r:embed="rId34"/>
                    <a:stretch>
                      <a:fillRect/>
                    </a:stretch>
                  </pic:blipFill>
                  <pic:spPr>
                    <a:xfrm>
                      <a:off x="0" y="0"/>
                      <a:ext cx="2520315" cy="1800225"/>
                    </a:xfrm>
                    <a:prstGeom prst="rect">
                      <a:avLst/>
                    </a:prstGeom>
                  </pic:spPr>
                </pic:pic>
              </a:graphicData>
            </a:graphic>
          </wp:inline>
        </w:drawing>
      </w:r>
      <w:r>
        <w:drawing>
          <wp:inline distT="0" distB="0" distL="114300" distR="114300">
            <wp:extent cx="2520315" cy="1800225"/>
            <wp:effectExtent l="0" t="0" r="13335" b="9525"/>
            <wp:docPr id="37" name="图片 20"/>
            <wp:cNvGraphicFramePr/>
            <a:graphic xmlns:a="http://schemas.openxmlformats.org/drawingml/2006/main">
              <a:graphicData uri="http://schemas.openxmlformats.org/drawingml/2006/picture">
                <pic:pic xmlns:pic="http://schemas.openxmlformats.org/drawingml/2006/picture">
                  <pic:nvPicPr>
                    <pic:cNvPr id="37" name="图片 20"/>
                    <pic:cNvPicPr/>
                  </pic:nvPicPr>
                  <pic:blipFill>
                    <a:blip r:embed="rId35"/>
                    <a:stretch>
                      <a:fillRect/>
                    </a:stretch>
                  </pic:blipFill>
                  <pic:spPr>
                    <a:xfrm>
                      <a:off x="0" y="0"/>
                      <a:ext cx="2520315" cy="1800225"/>
                    </a:xfrm>
                    <a:prstGeom prst="rect">
                      <a:avLst/>
                    </a:prstGeom>
                    <a:noFill/>
                    <a:ln>
                      <a:noFill/>
                    </a:ln>
                  </pic:spPr>
                </pic:pic>
              </a:graphicData>
            </a:graphic>
          </wp:inline>
        </w:drawing>
      </w:r>
    </w:p>
    <w:p w14:paraId="7BFD9295">
      <w:pPr>
        <w:widowControl/>
        <w:spacing w:line="360" w:lineRule="auto"/>
        <w:jc w:val="left"/>
        <w:rPr>
          <w:rStyle w:val="10"/>
          <w:rFonts w:hint="eastAsia"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val="en-US" w:eastAsia="zh-CN" w:bidi="ar"/>
        </w:rPr>
        <w:t>九、</w:t>
      </w:r>
      <w:r>
        <w:rPr>
          <w:rStyle w:val="10"/>
          <w:rFonts w:hint="eastAsia" w:ascii="楷体_GB2312" w:hAnsi="楷体_GB2312" w:eastAsia="楷体_GB2312" w:cs="楷体_GB2312"/>
          <w:bCs/>
          <w:color w:val="auto"/>
          <w:spacing w:val="8"/>
          <w:kern w:val="0"/>
          <w:sz w:val="24"/>
          <w:szCs w:val="24"/>
          <w:shd w:val="clear" w:color="auto" w:fill="FFFFFF"/>
          <w:lang w:eastAsia="zh-CN" w:bidi="ar"/>
        </w:rPr>
        <w:t>招生政策</w:t>
      </w:r>
    </w:p>
    <w:p w14:paraId="09E18C07">
      <w:pPr>
        <w:pStyle w:val="7"/>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楷体_GB2312" w:hAnsi="楷体_GB2312" w:eastAsia="楷体_GB2312" w:cs="楷体_GB2312"/>
          <w:color w:val="0000FF"/>
          <w:shd w:val="clear" w:color="auto" w:fill="FFFFFF"/>
          <w:lang w:eastAsia="zh-CN"/>
        </w:rPr>
      </w:pPr>
      <w:r>
        <w:rPr>
          <w:rFonts w:hint="eastAsia" w:ascii="楷体_GB2312" w:hAnsi="楷体_GB2312" w:eastAsia="楷体_GB2312" w:cs="楷体_GB2312"/>
          <w:color w:val="0000FF"/>
          <w:shd w:val="clear" w:color="auto" w:fill="FFFFFF"/>
        </w:rPr>
        <w:t>夏季高考考生需参加山东省统一组织的文化课考试。考生按照山东省教育招生考试院</w:t>
      </w:r>
      <w:r>
        <w:rPr>
          <w:rFonts w:ascii="楷体" w:hAnsi="楷体" w:eastAsia="楷体"/>
          <w:color w:val="0000FF"/>
        </w:rPr>
        <w:t>高职（专科）</w:t>
      </w:r>
      <w:r>
        <w:rPr>
          <w:rFonts w:hint="eastAsia" w:ascii="楷体_GB2312" w:hAnsi="楷体_GB2312" w:eastAsia="楷体_GB2312" w:cs="楷体_GB2312"/>
          <w:color w:val="0000FF"/>
          <w:shd w:val="clear" w:color="auto" w:fill="FFFFFF"/>
        </w:rPr>
        <w:t>填报志愿的时间段登录省招考院网站填报济南护理职业学院高考志愿</w:t>
      </w:r>
      <w:r>
        <w:rPr>
          <w:rFonts w:hint="eastAsia" w:ascii="楷体_GB2312" w:hAnsi="楷体_GB2312" w:eastAsia="楷体_GB2312" w:cs="楷体_GB2312"/>
          <w:color w:val="0000FF"/>
          <w:shd w:val="clear" w:color="auto" w:fill="FFFFFF"/>
          <w:lang w:eastAsia="zh-CN"/>
        </w:rPr>
        <w:t>。</w:t>
      </w:r>
    </w:p>
    <w:p w14:paraId="4A10C3E0">
      <w:pPr>
        <w:pStyle w:val="7"/>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楷体_GB2312" w:hAnsi="楷体_GB2312" w:eastAsia="楷体_GB2312" w:cs="楷体_GB2312"/>
          <w:color w:val="0000FF"/>
          <w:shd w:val="clear" w:color="auto" w:fill="FFFFFF"/>
        </w:rPr>
      </w:pPr>
      <w:r>
        <w:rPr>
          <w:rFonts w:hint="eastAsia" w:ascii="楷体_GB2312" w:hAnsi="楷体_GB2312" w:eastAsia="楷体_GB2312" w:cs="楷体_GB2312"/>
          <w:color w:val="0000FF"/>
          <w:shd w:val="clear" w:color="auto" w:fill="FFFFFF"/>
        </w:rPr>
        <w:t>春季高考考生需参加</w:t>
      </w:r>
      <w:bookmarkStart w:id="0" w:name="_Hlk100866660"/>
      <w:r>
        <w:rPr>
          <w:rFonts w:hint="eastAsia" w:ascii="楷体_GB2312" w:hAnsi="楷体_GB2312" w:eastAsia="楷体_GB2312" w:cs="楷体_GB2312"/>
          <w:color w:val="0000FF"/>
          <w:shd w:val="clear" w:color="auto" w:fill="FFFFFF"/>
        </w:rPr>
        <w:t>山东省统一组织的</w:t>
      </w:r>
      <w:bookmarkEnd w:id="0"/>
      <w:r>
        <w:rPr>
          <w:rFonts w:hint="eastAsia" w:ascii="楷体_GB2312" w:hAnsi="楷体_GB2312" w:eastAsia="楷体_GB2312" w:cs="楷体_GB2312"/>
          <w:color w:val="0000FF"/>
          <w:shd w:val="clear" w:color="auto" w:fill="FFFFFF"/>
        </w:rPr>
        <w:t>文化考试和技能测试。考生按照山东省教育招生考试院</w:t>
      </w:r>
      <w:r>
        <w:rPr>
          <w:rFonts w:ascii="楷体" w:hAnsi="楷体" w:eastAsia="楷体"/>
          <w:color w:val="0000FF"/>
        </w:rPr>
        <w:t>高职（专科）</w:t>
      </w:r>
      <w:r>
        <w:rPr>
          <w:rFonts w:hint="eastAsia" w:ascii="楷体_GB2312" w:hAnsi="楷体_GB2312" w:eastAsia="楷体_GB2312" w:cs="楷体_GB2312"/>
          <w:color w:val="0000FF"/>
          <w:shd w:val="clear" w:color="auto" w:fill="FFFFFF"/>
        </w:rPr>
        <w:t>填报志愿的时间段登录省招考院网站填报济南护理职业学院高考志愿。</w:t>
      </w:r>
    </w:p>
    <w:p w14:paraId="1CC19EBA">
      <w:pPr>
        <w:pStyle w:val="7"/>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0000FF"/>
          <w:shd w:val="clear" w:color="auto" w:fill="FFFFFF"/>
          <w:lang w:val="en-US" w:eastAsia="zh-CN"/>
        </w:rPr>
        <w:t>注：各专业招生计划以教育招生考试院批复为准。</w:t>
      </w:r>
    </w:p>
    <w:p w14:paraId="5E5C5D03">
      <w:pPr>
        <w:widowControl/>
        <w:spacing w:line="360" w:lineRule="auto"/>
        <w:jc w:val="left"/>
        <w:rPr>
          <w:rStyle w:val="10"/>
          <w:rFonts w:hint="eastAsia" w:ascii="楷体_GB2312" w:hAnsi="楷体_GB2312" w:eastAsia="楷体_GB2312" w:cs="楷体_GB2312"/>
          <w:bCs/>
          <w:color w:val="auto"/>
          <w:spacing w:val="8"/>
          <w:kern w:val="0"/>
          <w:sz w:val="24"/>
          <w:szCs w:val="24"/>
          <w:shd w:val="clear" w:color="auto" w:fill="FFFFFF"/>
          <w:lang w:eastAsia="zh-CN" w:bidi="ar"/>
        </w:rPr>
      </w:pPr>
      <w:r>
        <w:rPr>
          <w:rStyle w:val="10"/>
          <w:rFonts w:hint="eastAsia" w:ascii="楷体_GB2312" w:hAnsi="楷体_GB2312" w:eastAsia="楷体_GB2312" w:cs="楷体_GB2312"/>
          <w:bCs/>
          <w:color w:val="auto"/>
          <w:spacing w:val="8"/>
          <w:kern w:val="0"/>
          <w:sz w:val="24"/>
          <w:szCs w:val="24"/>
          <w:shd w:val="clear" w:color="auto" w:fill="FFFFFF"/>
          <w:lang w:val="en-US" w:eastAsia="zh-CN" w:bidi="ar"/>
        </w:rPr>
        <w:t>十、</w:t>
      </w:r>
      <w:r>
        <w:rPr>
          <w:rStyle w:val="10"/>
          <w:rFonts w:hint="eastAsia" w:ascii="楷体_GB2312" w:hAnsi="楷体_GB2312" w:eastAsia="楷体_GB2312" w:cs="楷体_GB2312"/>
          <w:bCs/>
          <w:color w:val="auto"/>
          <w:spacing w:val="8"/>
          <w:kern w:val="0"/>
          <w:sz w:val="24"/>
          <w:szCs w:val="24"/>
          <w:shd w:val="clear" w:color="auto" w:fill="FFFFFF"/>
          <w:lang w:eastAsia="zh-CN" w:bidi="ar"/>
        </w:rPr>
        <w:t>贫困生资助</w:t>
      </w:r>
    </w:p>
    <w:p w14:paraId="6FBFFDEF">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0000FF"/>
          <w:sz w:val="24"/>
          <w:szCs w:val="24"/>
          <w:shd w:val="clear" w:color="auto" w:fill="FFFFFF"/>
          <w:lang w:val="en-US" w:eastAsia="zh-CN"/>
        </w:rPr>
        <w:t>学院</w:t>
      </w:r>
      <w:r>
        <w:rPr>
          <w:rFonts w:hint="eastAsia" w:ascii="楷体_GB2312" w:hAnsi="楷体_GB2312" w:eastAsia="楷体_GB2312" w:cs="楷体_GB2312"/>
          <w:color w:val="auto"/>
          <w:sz w:val="24"/>
          <w:szCs w:val="24"/>
          <w:shd w:val="clear" w:color="auto" w:fill="FFFFFF"/>
        </w:rPr>
        <w:t>通过奖、贷、助、补、免等多种资助方式帮助学生完成学业。家庭经济困难学生可申请助学贷款、“绿色通道”、奖助学金、学费减免、勤工助学等资助项目。资助条件和标准由</w:t>
      </w:r>
      <w:r>
        <w:rPr>
          <w:rFonts w:hint="eastAsia" w:ascii="楷体_GB2312" w:hAnsi="楷体_GB2312" w:eastAsia="楷体_GB2312" w:cs="楷体_GB2312"/>
          <w:color w:val="0000FF"/>
          <w:sz w:val="24"/>
          <w:szCs w:val="24"/>
          <w:shd w:val="clear" w:color="auto" w:fill="FFFFFF"/>
          <w:lang w:val="en-US" w:eastAsia="zh-CN"/>
        </w:rPr>
        <w:t>学院</w:t>
      </w:r>
      <w:r>
        <w:rPr>
          <w:rFonts w:hint="eastAsia" w:ascii="楷体_GB2312" w:hAnsi="楷体_GB2312" w:eastAsia="楷体_GB2312" w:cs="楷体_GB2312"/>
          <w:color w:val="auto"/>
          <w:sz w:val="24"/>
          <w:szCs w:val="24"/>
          <w:shd w:val="clear" w:color="auto" w:fill="FFFFFF"/>
        </w:rPr>
        <w:t>根据学生家庭经济情况，按照省财政厅、省教育厅等5部门《山东省学生资助资金管理办法》（鲁财科教〔2022〕17 号）以及</w:t>
      </w:r>
      <w:r>
        <w:rPr>
          <w:rFonts w:hint="eastAsia" w:ascii="楷体_GB2312" w:hAnsi="楷体_GB2312" w:eastAsia="楷体_GB2312" w:cs="楷体_GB2312"/>
          <w:color w:val="0000FF"/>
          <w:sz w:val="24"/>
          <w:szCs w:val="24"/>
          <w:shd w:val="clear" w:color="auto" w:fill="FFFFFF"/>
          <w:lang w:val="en-US" w:eastAsia="zh-CN"/>
        </w:rPr>
        <w:t>学院</w:t>
      </w:r>
      <w:r>
        <w:rPr>
          <w:rFonts w:hint="eastAsia" w:ascii="楷体_GB2312" w:hAnsi="楷体_GB2312" w:eastAsia="楷体_GB2312" w:cs="楷体_GB2312"/>
          <w:color w:val="auto"/>
          <w:sz w:val="24"/>
          <w:szCs w:val="24"/>
          <w:shd w:val="clear" w:color="auto" w:fill="FFFFFF"/>
        </w:rPr>
        <w:t>相关规定执行。</w:t>
      </w:r>
    </w:p>
    <w:p w14:paraId="0BC0E9B3">
      <w:pPr>
        <w:widowControl/>
        <w:spacing w:line="360" w:lineRule="auto"/>
        <w:jc w:val="left"/>
        <w:rPr>
          <w:rStyle w:val="10"/>
          <w:rFonts w:hint="eastAsia" w:ascii="楷体_GB2312" w:hAnsi="楷体_GB2312" w:eastAsia="楷体_GB2312" w:cs="楷体_GB2312"/>
          <w:bCs/>
          <w:color w:val="auto"/>
          <w:spacing w:val="8"/>
          <w:kern w:val="0"/>
          <w:sz w:val="24"/>
          <w:szCs w:val="24"/>
          <w:shd w:val="clear" w:color="auto" w:fill="FFFFFF"/>
          <w:lang w:eastAsia="zh-CN" w:bidi="ar"/>
        </w:rPr>
      </w:pPr>
      <w:r>
        <w:rPr>
          <w:rStyle w:val="10"/>
          <w:rFonts w:hint="eastAsia" w:ascii="楷体_GB2312" w:hAnsi="楷体_GB2312" w:eastAsia="楷体_GB2312" w:cs="楷体_GB2312"/>
          <w:bCs/>
          <w:color w:val="auto"/>
          <w:spacing w:val="8"/>
          <w:kern w:val="0"/>
          <w:sz w:val="24"/>
          <w:szCs w:val="24"/>
          <w:shd w:val="clear" w:color="auto" w:fill="FFFFFF"/>
          <w:lang w:val="en-US" w:eastAsia="zh-CN" w:bidi="ar"/>
        </w:rPr>
        <w:t>十一、</w:t>
      </w:r>
      <w:r>
        <w:rPr>
          <w:rStyle w:val="10"/>
          <w:rFonts w:hint="eastAsia" w:ascii="楷体_GB2312" w:hAnsi="楷体_GB2312" w:eastAsia="楷体_GB2312" w:cs="楷体_GB2312"/>
          <w:bCs/>
          <w:color w:val="auto"/>
          <w:spacing w:val="8"/>
          <w:kern w:val="0"/>
          <w:sz w:val="24"/>
          <w:szCs w:val="24"/>
          <w:shd w:val="clear" w:color="auto" w:fill="FFFFFF"/>
          <w:lang w:eastAsia="zh-CN" w:bidi="ar"/>
        </w:rPr>
        <w:t>收费标准</w:t>
      </w:r>
    </w:p>
    <w:p w14:paraId="0E27E7E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楷体_GB2312" w:hAnsi="楷体_GB2312" w:eastAsia="楷体_GB2312" w:cs="楷体_GB2312"/>
          <w:color w:val="0000FF"/>
          <w:sz w:val="24"/>
          <w:szCs w:val="24"/>
          <w:shd w:val="clear" w:color="auto" w:fill="FFFFFF"/>
          <w:lang w:val="en-US" w:eastAsia="zh-CN"/>
        </w:rPr>
      </w:pPr>
      <w:r>
        <w:rPr>
          <w:rFonts w:hint="default" w:ascii="楷体_GB2312" w:hAnsi="楷体_GB2312" w:eastAsia="楷体_GB2312" w:cs="楷体_GB2312"/>
          <w:color w:val="0000FF"/>
          <w:sz w:val="24"/>
          <w:szCs w:val="24"/>
          <w:shd w:val="clear" w:color="auto" w:fill="FFFFFF"/>
          <w:lang w:val="en-US" w:eastAsia="zh-CN"/>
        </w:rPr>
        <w:t>学费标准按照《山东省发展和改革委员会 山东省财政厅 山东省教育厅关于规范完善高校学费收费政策的通知》(鲁发改价格〔2023〕559号)文件执行。退费按照国家和省相关规定执行。</w:t>
      </w:r>
    </w:p>
    <w:p w14:paraId="40C3EE58">
      <w:pPr>
        <w:widowControl/>
        <w:spacing w:line="360" w:lineRule="auto"/>
        <w:jc w:val="left"/>
        <w:rPr>
          <w:rStyle w:val="10"/>
          <w:rFonts w:hint="eastAsia"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val="en-US" w:eastAsia="zh-CN" w:bidi="ar"/>
        </w:rPr>
        <w:t>十二、</w:t>
      </w:r>
      <w:r>
        <w:rPr>
          <w:rStyle w:val="10"/>
          <w:rFonts w:hint="eastAsia" w:ascii="楷体_GB2312" w:hAnsi="楷体_GB2312" w:eastAsia="楷体_GB2312" w:cs="楷体_GB2312"/>
          <w:bCs/>
          <w:color w:val="auto"/>
          <w:spacing w:val="8"/>
          <w:kern w:val="0"/>
          <w:sz w:val="24"/>
          <w:szCs w:val="24"/>
          <w:shd w:val="clear" w:color="auto" w:fill="FFFFFF"/>
          <w:lang w:eastAsia="zh-CN" w:bidi="ar"/>
        </w:rPr>
        <w:t>联系方式</w:t>
      </w:r>
    </w:p>
    <w:p w14:paraId="44B65809">
      <w:pPr>
        <w:widowControl/>
        <w:spacing w:line="360" w:lineRule="auto"/>
        <w:ind w:firstLine="480" w:firstLineChars="200"/>
        <w:jc w:val="left"/>
        <w:rPr>
          <w:rFonts w:hint="default"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专业负责人：王芳    15610189863</w:t>
      </w:r>
    </w:p>
    <w:p w14:paraId="06376C63">
      <w:pPr>
        <w:pStyle w:val="7"/>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lang w:val="en-US" w:eastAsia="zh-CN"/>
        </w:rPr>
      </w:pPr>
      <w:r>
        <w:rPr>
          <w:rFonts w:hint="eastAsia" w:ascii="楷体_GB2312" w:hAnsi="楷体_GB2312" w:eastAsia="楷体_GB2312" w:cs="楷体_GB2312"/>
          <w:color w:val="auto"/>
          <w:shd w:val="clear" w:color="auto" w:fill="FFFFFF"/>
          <w:lang w:val="en-US" w:eastAsia="zh-CN"/>
        </w:rPr>
        <w:t>招生咨询电话：（0531）58164412、59532205、59822206</w:t>
      </w:r>
    </w:p>
    <w:p w14:paraId="16C05E9A">
      <w:pPr>
        <w:pStyle w:val="11"/>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color w:val="auto"/>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JmYzNjMGRiYjUwMzUyMDFlZmU4MjA0MGYzMjc1ZmIifQ=="/>
    <w:docVar w:name="KSO_WPS_MARK_KEY" w:val="16d436ff-be10-422d-b850-bdaedc788bd6"/>
  </w:docVars>
  <w:rsids>
    <w:rsidRoot w:val="00000000"/>
    <w:rsid w:val="00CC5ED0"/>
    <w:rsid w:val="0501154F"/>
    <w:rsid w:val="093F40D9"/>
    <w:rsid w:val="0B01652D"/>
    <w:rsid w:val="0B7D6A9C"/>
    <w:rsid w:val="10C9596D"/>
    <w:rsid w:val="14387A97"/>
    <w:rsid w:val="15C974C3"/>
    <w:rsid w:val="1BD30531"/>
    <w:rsid w:val="22577AE0"/>
    <w:rsid w:val="26497019"/>
    <w:rsid w:val="267513B1"/>
    <w:rsid w:val="28946B61"/>
    <w:rsid w:val="2E6D4CAE"/>
    <w:rsid w:val="309F4916"/>
    <w:rsid w:val="341B7184"/>
    <w:rsid w:val="36E5598E"/>
    <w:rsid w:val="380F38F8"/>
    <w:rsid w:val="3B5003E7"/>
    <w:rsid w:val="40537388"/>
    <w:rsid w:val="423078BC"/>
    <w:rsid w:val="42D632A7"/>
    <w:rsid w:val="44697D3F"/>
    <w:rsid w:val="477D750A"/>
    <w:rsid w:val="4D634C44"/>
    <w:rsid w:val="4F605C7F"/>
    <w:rsid w:val="51BF59D0"/>
    <w:rsid w:val="53D03AA1"/>
    <w:rsid w:val="59A75FC5"/>
    <w:rsid w:val="6161238C"/>
    <w:rsid w:val="61B70C68"/>
    <w:rsid w:val="63450527"/>
    <w:rsid w:val="64E22460"/>
    <w:rsid w:val="66261270"/>
    <w:rsid w:val="683F2D5D"/>
    <w:rsid w:val="6C5B5CD3"/>
    <w:rsid w:val="765C6C92"/>
    <w:rsid w:val="782A59D6"/>
    <w:rsid w:val="7E5A284D"/>
    <w:rsid w:val="7F612376"/>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Arial"/>
      <w:kern w:val="2"/>
      <w:sz w:val="21"/>
      <w:szCs w:val="22"/>
      <w:lang w:val="en-US" w:eastAsia="zh-CN" w:bidi="ar-SA"/>
    </w:rPr>
  </w:style>
  <w:style w:type="paragraph" w:styleId="5">
    <w:name w:val="heading 2"/>
    <w:basedOn w:val="1"/>
    <w:next w:val="1"/>
    <w:autoRedefine/>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paragraph" w:styleId="6">
    <w:name w:val="heading 3"/>
    <w:basedOn w:val="1"/>
    <w:next w:val="1"/>
    <w:autoRedefine/>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9">
    <w:name w:val="Default Paragraph Font"/>
    <w:qFormat/>
    <w:uiPriority w:val="1"/>
  </w:style>
  <w:style w:type="table" w:default="1" w:styleId="8">
    <w:name w:val="Normal Table"/>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style>
  <w:style w:type="paragraph" w:styleId="7">
    <w:name w:val="Normal (Web)"/>
    <w:basedOn w:val="1"/>
    <w:qFormat/>
    <w:uiPriority w:val="0"/>
    <w:pPr>
      <w:spacing w:beforeAutospacing="1" w:afterAutospacing="1"/>
      <w:jc w:val="left"/>
    </w:pPr>
    <w:rPr>
      <w:rFonts w:cs="Times New Roman"/>
      <w:kern w:val="0"/>
      <w:sz w:val="24"/>
    </w:rPr>
  </w:style>
  <w:style w:type="character" w:styleId="10">
    <w:name w:val="Strong"/>
    <w:basedOn w:val="9"/>
    <w:qFormat/>
    <w:uiPriority w:val="0"/>
    <w:rPr>
      <w:b/>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6" Type="http://schemas.openxmlformats.org/officeDocument/2006/relationships/fontTable" Target="fontTable.xml"/><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10</Pages>
  <Words>3398</Words>
  <Characters>3474</Characters>
  <Paragraphs>28</Paragraphs>
  <TotalTime>7</TotalTime>
  <ScaleCrop>false</ScaleCrop>
  <LinksUpToDate>false</LinksUpToDate>
  <CharactersWithSpaces>3485</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2023-03-22T11:45:00Z</dcterms:created>
  <dc:creator>M2105K81AC</dc:creator>
  <cp:lastModifiedBy>芳芳</cp:lastModifiedBy>
  <dcterms:modified xsi:type="dcterms:W3CDTF">2025-04-07T02:10:22Z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5FA2955EA66741C2B9DB7A39E4CC3331_13</vt:lpwstr>
  </property>
  <property fmtid="{D5CDD505-2E9C-101B-9397-08002B2CF9AE}" pid="3" name="KSOProductBuildVer">
    <vt:lpwstr>2052-12.1.0.20305</vt:lpwstr>
  </property>
  <property fmtid="{D5CDD505-2E9C-101B-9397-08002B2CF9AE}" pid="4" name="KSOTemplateDocerSaveRecord">
    <vt:lpwstr>eyJoZGlkIjoiMWE5NjA1ZDI2Yjc1NmJmNjhkYTljNWJlNGYzY2UyZWQiLCJ1c2VySWQiOiIyNDQ4NzM2MjIifQ==</vt:lpwstr>
  </property>
</Properties>
</file>