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120" w:afterAutospacing="0"/>
        <w:jc w:val="center"/>
        <w:rPr>
          <w:rFonts w:hint="default" w:ascii="楷体_GB2312" w:hAnsi="楷体_GB2312" w:eastAsia="楷体_GB2312" w:cs="楷体_GB2312"/>
          <w:color w:val="auto"/>
          <w:spacing w:val="8"/>
          <w:shd w:val="clear" w:color="auto" w:fill="FFFFFF"/>
        </w:rPr>
      </w:pPr>
      <w:r>
        <w:rPr>
          <w:rFonts w:ascii="楷体_GB2312" w:hAnsi="楷体_GB2312" w:eastAsia="楷体_GB2312" w:cs="楷体_GB2312"/>
          <w:color w:val="auto"/>
          <w:spacing w:val="8"/>
          <w:shd w:val="clear" w:color="auto" w:fill="FFFFFF"/>
        </w:rPr>
        <w:t>眼视光技术专业深度解读</w:t>
      </w:r>
    </w:p>
    <w:p>
      <w:pPr>
        <w:widowControl/>
        <w:numPr>
          <w:ilvl w:val="0"/>
          <w:numId w:val="1"/>
        </w:numPr>
        <w:spacing w:line="360" w:lineRule="auto"/>
        <w:jc w:val="left"/>
        <w:rPr>
          <w:rStyle w:val="7"/>
          <w:rFonts w:ascii="楷体_GB2312" w:hAnsi="楷体_GB2312" w:eastAsia="楷体_GB2312" w:cs="楷体_GB2312"/>
          <w:bCs/>
          <w:color w:val="auto"/>
          <w:spacing w:val="8"/>
          <w:kern w:val="0"/>
          <w:sz w:val="30"/>
          <w:szCs w:val="30"/>
          <w:shd w:val="clear" w:color="auto" w:fill="FFFFFF"/>
          <w:lang w:bidi="ar"/>
        </w:rPr>
      </w:pPr>
      <w:r>
        <w:rPr>
          <w:rStyle w:val="7"/>
          <w:rFonts w:hint="eastAsia" w:ascii="楷体_GB2312" w:hAnsi="楷体_GB2312" w:eastAsia="楷体_GB2312" w:cs="楷体_GB2312"/>
          <w:bCs/>
          <w:color w:val="auto"/>
          <w:spacing w:val="8"/>
          <w:kern w:val="0"/>
          <w:sz w:val="30"/>
          <w:szCs w:val="30"/>
          <w:shd w:val="clear" w:color="auto" w:fill="FFFFFF"/>
          <w:lang w:bidi="ar"/>
        </w:rPr>
        <w:t>培养目标</w:t>
      </w:r>
    </w:p>
    <w:p>
      <w:pPr>
        <w:widowControl/>
        <w:spacing w:line="360" w:lineRule="auto"/>
        <w:ind w:firstLine="480" w:firstLineChars="200"/>
        <w:rPr>
          <w:rFonts w:hint="eastAsia" w:ascii="楷体" w:hAnsi="楷体" w:eastAsia="楷体" w:cs="宋体"/>
          <w:color w:val="auto"/>
          <w:kern w:val="0"/>
          <w:sz w:val="24"/>
        </w:rPr>
      </w:pPr>
      <w:r>
        <w:rPr>
          <w:rFonts w:hint="eastAsia" w:ascii="楷体" w:hAnsi="楷体" w:eastAsia="楷体" w:cs="宋体"/>
          <w:color w:val="auto"/>
          <w:kern w:val="0"/>
          <w:sz w:val="24"/>
          <w:lang w:val="en-US" w:eastAsia="zh-CN"/>
        </w:rPr>
        <w:t>本专业培养能够践行社会主义核心价值观，传承技能文明，德智体美劳全面发展，具有一定的科学文化水平，良好的人文素养、科学素养、数字素养、职业道德、创新意识、 爱岗敬业的敬业精神和精益求精的工匠精神，较强的就业创业能力和可持续发展的能力， 掌握本专业知识和技术技能，具备职业综合素质和行动能力，面向卫生行业的眼镜验光师、 眼镜定配工等职业，能够从事眼科与视功能检查、验光、接触镜验配、双眼视功能评估与 处理、眼镜定配、眼镜营销与管理等工作的高技能人才。</w:t>
      </w:r>
    </w:p>
    <w:p>
      <w:pPr>
        <w:widowControl/>
        <w:numPr>
          <w:ilvl w:val="0"/>
          <w:numId w:val="1"/>
        </w:numPr>
        <w:spacing w:line="360" w:lineRule="auto"/>
        <w:jc w:val="left"/>
        <w:rPr>
          <w:rStyle w:val="7"/>
          <w:rFonts w:ascii="楷体_GB2312" w:hAnsi="楷体_GB2312" w:eastAsia="楷体_GB2312" w:cs="楷体_GB2312"/>
          <w:bCs/>
          <w:color w:val="auto"/>
          <w:spacing w:val="8"/>
          <w:kern w:val="0"/>
          <w:sz w:val="30"/>
          <w:szCs w:val="30"/>
          <w:shd w:val="clear" w:color="auto" w:fill="FFFFFF"/>
          <w:lang w:bidi="ar"/>
        </w:rPr>
      </w:pPr>
      <w:r>
        <w:rPr>
          <w:rStyle w:val="7"/>
          <w:rFonts w:hint="eastAsia" w:ascii="楷体_GB2312" w:hAnsi="楷体_GB2312" w:eastAsia="楷体_GB2312" w:cs="楷体_GB2312"/>
          <w:bCs/>
          <w:color w:val="auto"/>
          <w:spacing w:val="8"/>
          <w:kern w:val="0"/>
          <w:sz w:val="30"/>
          <w:szCs w:val="30"/>
          <w:shd w:val="clear" w:color="auto" w:fill="FFFFFF"/>
          <w:lang w:bidi="ar"/>
        </w:rPr>
        <w:t>师资力量</w:t>
      </w:r>
    </w:p>
    <w:p>
      <w:pPr>
        <w:widowControl/>
        <w:spacing w:line="360" w:lineRule="auto"/>
        <w:ind w:firstLine="480" w:firstLineChars="200"/>
        <w:rPr>
          <w:rFonts w:hint="eastAsia" w:ascii="楷体" w:hAnsi="楷体" w:eastAsia="楷体" w:cs="宋体"/>
          <w:color w:val="auto"/>
          <w:kern w:val="0"/>
          <w:sz w:val="24"/>
        </w:rPr>
      </w:pPr>
      <w:r>
        <w:rPr>
          <w:rFonts w:hint="eastAsia" w:ascii="楷体" w:hAnsi="楷体" w:eastAsia="楷体" w:cs="宋体"/>
          <w:color w:val="auto"/>
          <w:kern w:val="0"/>
          <w:sz w:val="24"/>
        </w:rPr>
        <w:t>现有专兼职教师50人，其中高级职称25人、中级职称</w:t>
      </w:r>
      <w:r>
        <w:rPr>
          <w:rFonts w:hint="eastAsia" w:ascii="楷体" w:hAnsi="楷体" w:eastAsia="楷体" w:cs="宋体"/>
          <w:color w:val="auto"/>
          <w:kern w:val="0"/>
          <w:sz w:val="24"/>
          <w:lang w:val="en-US" w:eastAsia="zh-CN"/>
        </w:rPr>
        <w:t>15</w:t>
      </w:r>
      <w:r>
        <w:rPr>
          <w:rFonts w:hint="eastAsia" w:ascii="楷体" w:hAnsi="楷体" w:eastAsia="楷体" w:cs="宋体"/>
          <w:color w:val="auto"/>
          <w:kern w:val="0"/>
          <w:sz w:val="24"/>
        </w:rPr>
        <w:t>人、初级职称</w:t>
      </w:r>
      <w:r>
        <w:rPr>
          <w:rFonts w:hint="eastAsia" w:ascii="楷体" w:hAnsi="楷体" w:eastAsia="楷体" w:cs="宋体"/>
          <w:color w:val="auto"/>
          <w:kern w:val="0"/>
          <w:sz w:val="24"/>
          <w:lang w:val="en-US" w:eastAsia="zh-CN"/>
        </w:rPr>
        <w:t>10</w:t>
      </w:r>
      <w:r>
        <w:rPr>
          <w:rFonts w:hint="eastAsia" w:ascii="楷体" w:hAnsi="楷体" w:eastAsia="楷体" w:cs="宋体"/>
          <w:color w:val="auto"/>
          <w:kern w:val="0"/>
          <w:sz w:val="24"/>
        </w:rPr>
        <w:t>人，</w:t>
      </w:r>
      <w:r>
        <w:rPr>
          <w:rFonts w:hint="eastAsia" w:ascii="楷体" w:hAnsi="楷体" w:eastAsia="楷体" w:cs="宋体"/>
          <w:color w:val="auto"/>
          <w:kern w:val="0"/>
          <w:sz w:val="24"/>
          <w:lang w:val="en-US" w:eastAsia="zh-CN"/>
        </w:rPr>
        <w:t>具有硕士及以上学位者18人。其中眼视光教研室专业教师均具有相关临床工作、进修、学习经验，均为“双师型”教师，形成了一</w:t>
      </w:r>
      <w:bookmarkStart w:id="6" w:name="_GoBack"/>
      <w:bookmarkEnd w:id="6"/>
      <w:r>
        <w:rPr>
          <w:rFonts w:hint="eastAsia" w:ascii="楷体" w:hAnsi="楷体" w:eastAsia="楷体" w:cs="宋体"/>
          <w:color w:val="auto"/>
          <w:kern w:val="0"/>
          <w:sz w:val="24"/>
          <w:lang w:val="en-US" w:eastAsia="zh-CN"/>
        </w:rPr>
        <w:t>支师资力量雄厚、结构合理、年轻精干、富有激情活力的教学团队。</w:t>
      </w:r>
      <w:r>
        <w:rPr>
          <w:rFonts w:hint="eastAsia" w:ascii="楷体" w:hAnsi="楷体" w:eastAsia="楷体" w:cs="宋体"/>
          <w:color w:val="auto"/>
          <w:kern w:val="0"/>
          <w:sz w:val="24"/>
        </w:rPr>
        <w:t>主持并参与各级科研课题十余项，主编、参编全国教材十余部，编写校本教材5部，发表论文</w:t>
      </w:r>
      <w:r>
        <w:rPr>
          <w:rFonts w:hint="eastAsia" w:ascii="楷体" w:hAnsi="楷体" w:eastAsia="楷体" w:cs="宋体"/>
          <w:color w:val="auto"/>
          <w:kern w:val="0"/>
          <w:sz w:val="24"/>
          <w:lang w:val="en-US" w:eastAsia="zh-CN"/>
        </w:rPr>
        <w:t>3</w:t>
      </w:r>
      <w:r>
        <w:rPr>
          <w:rFonts w:hint="eastAsia" w:ascii="楷体" w:hAnsi="楷体" w:eastAsia="楷体" w:cs="宋体"/>
          <w:color w:val="auto"/>
          <w:kern w:val="0"/>
          <w:sz w:val="24"/>
        </w:rPr>
        <w:t>0余篇，多人次荣获各级教学能力比赛、优秀指导教师奖，以及教学能手、学院优秀教师、优秀共产党员等荣誉称号。</w:t>
      </w:r>
      <w:r>
        <w:rPr>
          <w:rFonts w:hint="eastAsia" w:ascii="楷体" w:hAnsi="楷体" w:eastAsia="楷体" w:cs="宋体"/>
          <w:color w:val="auto"/>
          <w:kern w:val="0"/>
          <w:sz w:val="24"/>
          <w:lang w:val="en-US" w:eastAsia="zh-CN"/>
        </w:rPr>
        <w:t>整合校内外优质人才资源，选聘企业高级技术人员担任行业导师，组建校企合作、 专兼结合的教师团队，建立定期开展专业（学科）教研机制。</w:t>
      </w:r>
    </w:p>
    <w:p>
      <w:pPr>
        <w:widowControl/>
        <w:spacing w:line="360" w:lineRule="auto"/>
        <w:rPr>
          <w:rFonts w:hint="eastAsia" w:ascii="楷体" w:hAnsi="楷体" w:eastAsia="楷体" w:cs="宋体"/>
          <w:color w:val="auto"/>
          <w:kern w:val="0"/>
          <w:sz w:val="24"/>
        </w:rPr>
      </w:pPr>
      <w:r>
        <w:drawing>
          <wp:inline distT="0" distB="0" distL="114300" distR="114300">
            <wp:extent cx="2586990" cy="1338580"/>
            <wp:effectExtent l="0" t="0" r="3810" b="1397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4"/>
                    <a:stretch>
                      <a:fillRect/>
                    </a:stretch>
                  </pic:blipFill>
                  <pic:spPr>
                    <a:xfrm>
                      <a:off x="0" y="0"/>
                      <a:ext cx="2586990" cy="1338580"/>
                    </a:xfrm>
                    <a:prstGeom prst="rect">
                      <a:avLst/>
                    </a:prstGeom>
                    <a:noFill/>
                    <a:ln>
                      <a:noFill/>
                    </a:ln>
                  </pic:spPr>
                </pic:pic>
              </a:graphicData>
            </a:graphic>
          </wp:inline>
        </w:drawing>
      </w:r>
      <w:r>
        <w:drawing>
          <wp:inline distT="0" distB="0" distL="114300" distR="114300">
            <wp:extent cx="2583180" cy="1336675"/>
            <wp:effectExtent l="0" t="0" r="7620" b="1587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5"/>
                    <a:stretch>
                      <a:fillRect/>
                    </a:stretch>
                  </pic:blipFill>
                  <pic:spPr>
                    <a:xfrm>
                      <a:off x="0" y="0"/>
                      <a:ext cx="2583180" cy="1336675"/>
                    </a:xfrm>
                    <a:prstGeom prst="rect">
                      <a:avLst/>
                    </a:prstGeom>
                    <a:noFill/>
                    <a:ln>
                      <a:noFill/>
                    </a:ln>
                  </pic:spPr>
                </pic:pic>
              </a:graphicData>
            </a:graphic>
          </wp:inline>
        </w:drawing>
      </w:r>
    </w:p>
    <w:p>
      <w:pPr>
        <w:widowControl/>
        <w:numPr>
          <w:ilvl w:val="0"/>
          <w:numId w:val="1"/>
        </w:numPr>
        <w:spacing w:line="360" w:lineRule="auto"/>
        <w:jc w:val="left"/>
        <w:rPr>
          <w:rStyle w:val="7"/>
          <w:rFonts w:ascii="楷体_GB2312" w:hAnsi="楷体_GB2312" w:eastAsia="楷体_GB2312" w:cs="楷体_GB2312"/>
          <w:bCs/>
          <w:color w:val="auto"/>
          <w:spacing w:val="8"/>
          <w:kern w:val="0"/>
          <w:sz w:val="30"/>
          <w:szCs w:val="30"/>
          <w:shd w:val="clear" w:color="auto" w:fill="FFFFFF"/>
          <w:lang w:bidi="ar"/>
        </w:rPr>
      </w:pPr>
      <w:r>
        <w:rPr>
          <w:rStyle w:val="7"/>
          <w:rFonts w:hint="eastAsia" w:ascii="楷体_GB2312" w:hAnsi="楷体_GB2312" w:eastAsia="楷体_GB2312" w:cs="楷体_GB2312"/>
          <w:bCs/>
          <w:color w:val="auto"/>
          <w:spacing w:val="8"/>
          <w:kern w:val="0"/>
          <w:sz w:val="30"/>
          <w:szCs w:val="30"/>
          <w:shd w:val="clear" w:color="auto" w:fill="FFFFFF"/>
          <w:lang w:bidi="ar"/>
        </w:rPr>
        <w:t>专业特色</w:t>
      </w:r>
    </w:p>
    <w:p>
      <w:pPr>
        <w:widowControl/>
        <w:spacing w:line="360" w:lineRule="auto"/>
        <w:ind w:firstLine="480" w:firstLineChars="200"/>
        <w:rPr>
          <w:rFonts w:hint="eastAsia" w:ascii="楷体" w:hAnsi="楷体" w:eastAsia="楷体" w:cs="宋体"/>
          <w:color w:val="auto"/>
          <w:kern w:val="0"/>
          <w:sz w:val="24"/>
          <w:lang w:eastAsia="zh-CN"/>
        </w:rPr>
      </w:pPr>
      <w:r>
        <w:rPr>
          <w:rFonts w:hint="eastAsia" w:ascii="楷体" w:hAnsi="楷体" w:eastAsia="楷体" w:cs="宋体"/>
          <w:color w:val="auto"/>
          <w:kern w:val="0"/>
          <w:sz w:val="24"/>
        </w:rPr>
        <w:t>本专业</w:t>
      </w:r>
      <w:r>
        <w:rPr>
          <w:rFonts w:hint="eastAsia" w:ascii="楷体" w:hAnsi="楷体" w:eastAsia="楷体" w:cs="宋体"/>
          <w:color w:val="auto"/>
          <w:kern w:val="0"/>
          <w:sz w:val="24"/>
          <w:lang w:eastAsia="zh-CN"/>
        </w:rPr>
        <w:t>秉持</w:t>
      </w:r>
      <w:r>
        <w:rPr>
          <w:rFonts w:hint="eastAsia" w:ascii="楷体" w:hAnsi="楷体" w:eastAsia="楷体" w:cs="宋体"/>
          <w:color w:val="auto"/>
          <w:kern w:val="0"/>
          <w:sz w:val="24"/>
        </w:rPr>
        <w:t>教育链与产业链深度对接</w:t>
      </w:r>
      <w:r>
        <w:rPr>
          <w:rFonts w:hint="eastAsia" w:ascii="楷体" w:hAnsi="楷体" w:eastAsia="楷体" w:cs="宋体"/>
          <w:color w:val="auto"/>
          <w:kern w:val="0"/>
          <w:sz w:val="24"/>
          <w:lang w:eastAsia="zh-CN"/>
        </w:rPr>
        <w:t>，</w:t>
      </w:r>
      <w:r>
        <w:rPr>
          <w:rFonts w:hint="eastAsia" w:ascii="楷体" w:hAnsi="楷体" w:eastAsia="楷体" w:cs="宋体"/>
          <w:color w:val="auto"/>
          <w:kern w:val="0"/>
          <w:sz w:val="24"/>
        </w:rPr>
        <w:t>专业建设紧密围绕区域眼健康产业发展需求，与</w:t>
      </w:r>
      <w:r>
        <w:rPr>
          <w:rFonts w:hint="eastAsia" w:ascii="楷体" w:hAnsi="楷体" w:eastAsia="楷体" w:cs="宋体"/>
          <w:color w:val="auto"/>
          <w:kern w:val="0"/>
          <w:sz w:val="24"/>
          <w:lang w:eastAsia="zh-CN"/>
        </w:rPr>
        <w:t>山东惠盟天下医疗科技集团有限公司</w:t>
      </w:r>
      <w:r>
        <w:rPr>
          <w:rFonts w:hint="eastAsia" w:ascii="楷体" w:hAnsi="楷体" w:eastAsia="楷体" w:cs="宋体"/>
          <w:color w:val="auto"/>
          <w:kern w:val="0"/>
          <w:sz w:val="24"/>
        </w:rPr>
        <w:t>共建实训基地，引入真实病例库和先进设备（如全自动验光台</w:t>
      </w:r>
      <w:r>
        <w:rPr>
          <w:rFonts w:hint="eastAsia" w:ascii="楷体" w:hAnsi="楷体" w:eastAsia="楷体" w:cs="宋体"/>
          <w:color w:val="auto"/>
          <w:kern w:val="0"/>
          <w:sz w:val="24"/>
          <w:lang w:eastAsia="zh-CN"/>
        </w:rPr>
        <w:t>等</w:t>
      </w:r>
      <w:r>
        <w:rPr>
          <w:rFonts w:hint="eastAsia" w:ascii="楷体" w:hAnsi="楷体" w:eastAsia="楷体" w:cs="宋体"/>
          <w:color w:val="auto"/>
          <w:kern w:val="0"/>
          <w:sz w:val="24"/>
        </w:rPr>
        <w:t>），实现“教室即门店、教师即技师”的教学场景。</w:t>
      </w:r>
      <w:r>
        <w:rPr>
          <w:rFonts w:hint="eastAsia" w:ascii="楷体" w:hAnsi="楷体" w:eastAsia="楷体" w:cs="宋体"/>
          <w:color w:val="auto"/>
          <w:kern w:val="0"/>
          <w:sz w:val="24"/>
          <w:lang w:eastAsia="zh-CN"/>
        </w:rPr>
        <w:t>本专业与济南明水眼科医院签署长期校企合作协议，实行</w:t>
      </w:r>
      <w:r>
        <w:rPr>
          <w:rFonts w:hint="eastAsia" w:ascii="楷体" w:hAnsi="楷体" w:eastAsia="楷体" w:cs="宋体"/>
          <w:color w:val="auto"/>
          <w:kern w:val="0"/>
          <w:sz w:val="24"/>
        </w:rPr>
        <w:t xml:space="preserve"> “1.5+0.5+1”</w:t>
      </w:r>
      <w:r>
        <w:rPr>
          <w:rFonts w:hint="eastAsia" w:ascii="楷体" w:hAnsi="楷体" w:eastAsia="楷体" w:cs="宋体"/>
          <w:color w:val="auto"/>
          <w:kern w:val="0"/>
          <w:sz w:val="24"/>
          <w:lang w:eastAsia="zh-CN"/>
        </w:rPr>
        <w:t>的</w:t>
      </w:r>
      <w:r>
        <w:rPr>
          <w:rFonts w:hint="eastAsia" w:ascii="楷体" w:hAnsi="楷体" w:eastAsia="楷体" w:cs="宋体"/>
          <w:color w:val="auto"/>
          <w:kern w:val="0"/>
          <w:sz w:val="24"/>
        </w:rPr>
        <w:t>分段培养机制</w:t>
      </w:r>
      <w:r>
        <w:rPr>
          <w:rFonts w:hint="eastAsia" w:ascii="楷体" w:hAnsi="楷体" w:eastAsia="楷体" w:cs="宋体"/>
          <w:color w:val="auto"/>
          <w:kern w:val="0"/>
          <w:sz w:val="24"/>
          <w:lang w:eastAsia="zh-CN"/>
        </w:rPr>
        <w:t>，及入学后</w:t>
      </w:r>
      <w:r>
        <w:rPr>
          <w:rFonts w:hint="eastAsia" w:ascii="楷体" w:hAnsi="楷体" w:eastAsia="楷体" w:cs="宋体"/>
          <w:color w:val="auto"/>
          <w:kern w:val="0"/>
          <w:sz w:val="24"/>
        </w:rPr>
        <w:t>前1.5年完成基础理论与校内实训，第4学期进入企业轮岗实践，后1年强化岗位技能，确保学生毕业即能胜任验光、配镜、视觉训练等核心岗位</w:t>
      </w:r>
      <w:r>
        <w:rPr>
          <w:rFonts w:hint="eastAsia" w:ascii="楷体" w:hAnsi="楷体" w:eastAsia="楷体" w:cs="宋体"/>
          <w:color w:val="auto"/>
          <w:kern w:val="0"/>
          <w:sz w:val="24"/>
          <w:lang w:eastAsia="zh-CN"/>
        </w:rPr>
        <w:t>。</w:t>
      </w:r>
    </w:p>
    <w:p>
      <w:pPr>
        <w:widowControl/>
        <w:spacing w:line="360" w:lineRule="auto"/>
        <w:ind w:firstLine="480" w:firstLineChars="200"/>
        <w:rPr>
          <w:rFonts w:hint="eastAsia" w:ascii="楷体" w:hAnsi="楷体" w:eastAsia="楷体" w:cs="宋体"/>
          <w:color w:val="auto"/>
          <w:kern w:val="0"/>
          <w:sz w:val="24"/>
          <w:lang w:eastAsia="zh-CN"/>
        </w:rPr>
      </w:pPr>
      <w:r>
        <w:rPr>
          <w:rFonts w:hint="eastAsia" w:ascii="楷体" w:hAnsi="楷体" w:eastAsia="楷体" w:cs="宋体"/>
          <w:color w:val="auto"/>
          <w:kern w:val="0"/>
          <w:sz w:val="24"/>
          <w:lang w:eastAsia="zh-CN"/>
        </w:rPr>
        <w:t>本专业坚持课证融通，将验光员（三级）、角膜接触镜验配师等职业资格标准嵌入《眼镜光学》《接触镜学》等核心课程，按照临床验光配镜流程进行“教学做”一体化实境教学，依托</w:t>
      </w:r>
      <w:r>
        <w:rPr>
          <w:rFonts w:hint="eastAsia" w:ascii="楷体" w:hAnsi="楷体" w:eastAsia="楷体" w:cs="宋体"/>
          <w:color w:val="auto"/>
          <w:kern w:val="0"/>
          <w:sz w:val="24"/>
          <w:lang w:val="en-US" w:eastAsia="zh-CN"/>
        </w:rPr>
        <w:t>山东省眼科医院、</w:t>
      </w:r>
      <w:r>
        <w:rPr>
          <w:rFonts w:hint="eastAsia" w:ascii="楷体" w:hAnsi="楷体" w:eastAsia="楷体" w:cs="宋体"/>
          <w:color w:val="auto"/>
          <w:kern w:val="0"/>
          <w:sz w:val="24"/>
          <w:lang w:eastAsia="zh-CN"/>
        </w:rPr>
        <w:t>济南市第二人民医院、济南明水眼科医院等校外实习实训基地，打造师带徒的工学结合人才培养模式。本专业教师均具有临床验光配镜一线工作经验，课上为教师，课下为师傅，带领学生在校内眼镜店进行验光配镜服务。</w:t>
      </w:r>
    </w:p>
    <w:p>
      <w:pPr>
        <w:widowControl/>
        <w:spacing w:line="360" w:lineRule="auto"/>
        <w:rPr>
          <w:rFonts w:hint="eastAsia" w:ascii="楷体" w:hAnsi="楷体" w:eastAsia="楷体" w:cs="宋体"/>
          <w:color w:val="auto"/>
          <w:kern w:val="0"/>
          <w:sz w:val="24"/>
          <w:lang w:eastAsia="zh-CN"/>
        </w:rPr>
      </w:pPr>
      <w:r>
        <w:rPr>
          <w:rFonts w:hint="eastAsia" w:ascii="楷体" w:hAnsi="楷体" w:eastAsia="楷体" w:cs="宋体"/>
          <w:color w:val="auto"/>
          <w:kern w:val="0"/>
          <w:sz w:val="24"/>
          <w:lang w:eastAsia="zh-CN"/>
        </w:rPr>
        <w:drawing>
          <wp:inline distT="0" distB="0" distL="114300" distR="114300">
            <wp:extent cx="2593975" cy="1945640"/>
            <wp:effectExtent l="0" t="0" r="15875" b="16510"/>
            <wp:docPr id="1" name="图片 1" descr="df9bcbbc52e2915c3fde88386bd0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9bcbbc52e2915c3fde88386bd084d"/>
                    <pic:cNvPicPr>
                      <a:picLocks noChangeAspect="1"/>
                    </pic:cNvPicPr>
                  </pic:nvPicPr>
                  <pic:blipFill>
                    <a:blip r:embed="rId6"/>
                    <a:stretch>
                      <a:fillRect/>
                    </a:stretch>
                  </pic:blipFill>
                  <pic:spPr>
                    <a:xfrm>
                      <a:off x="0" y="0"/>
                      <a:ext cx="2593975" cy="1945640"/>
                    </a:xfrm>
                    <a:prstGeom prst="rect">
                      <a:avLst/>
                    </a:prstGeom>
                  </pic:spPr>
                </pic:pic>
              </a:graphicData>
            </a:graphic>
          </wp:inline>
        </w:drawing>
      </w:r>
      <w:r>
        <w:rPr>
          <w:rFonts w:hint="eastAsia" w:ascii="楷体" w:hAnsi="楷体" w:eastAsia="楷体" w:cs="宋体"/>
          <w:color w:val="auto"/>
          <w:kern w:val="0"/>
          <w:sz w:val="24"/>
          <w:lang w:eastAsia="zh-CN"/>
        </w:rPr>
        <w:drawing>
          <wp:inline distT="0" distB="0" distL="114300" distR="114300">
            <wp:extent cx="2580005" cy="1935480"/>
            <wp:effectExtent l="0" t="0" r="10795" b="7620"/>
            <wp:docPr id="2" name="图片 2" descr="22587865d38d9b0f2b1087541d80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587865d38d9b0f2b1087541d805c2"/>
                    <pic:cNvPicPr>
                      <a:picLocks noChangeAspect="1"/>
                    </pic:cNvPicPr>
                  </pic:nvPicPr>
                  <pic:blipFill>
                    <a:blip r:embed="rId7"/>
                    <a:stretch>
                      <a:fillRect/>
                    </a:stretch>
                  </pic:blipFill>
                  <pic:spPr>
                    <a:xfrm>
                      <a:off x="0" y="0"/>
                      <a:ext cx="2580005" cy="1935480"/>
                    </a:xfrm>
                    <a:prstGeom prst="rect">
                      <a:avLst/>
                    </a:prstGeom>
                  </pic:spPr>
                </pic:pic>
              </a:graphicData>
            </a:graphic>
          </wp:inline>
        </w:drawing>
      </w:r>
    </w:p>
    <w:p>
      <w:pPr>
        <w:widowControl/>
        <w:spacing w:line="360" w:lineRule="auto"/>
        <w:rPr>
          <w:rFonts w:hint="eastAsia" w:ascii="宋体" w:hAnsi="宋体" w:eastAsia="宋体" w:cs="宋体"/>
          <w:color w:val="auto"/>
          <w:sz w:val="24"/>
          <w:lang w:eastAsia="zh-CN"/>
        </w:rPr>
      </w:pPr>
      <w:r>
        <w:rPr>
          <w:rFonts w:hint="eastAsia" w:ascii="宋体" w:hAnsi="宋体" w:cs="宋体"/>
          <w:color w:val="auto"/>
          <w:sz w:val="24"/>
        </w:rPr>
        <w:drawing>
          <wp:inline distT="0" distB="0" distL="114300" distR="114300">
            <wp:extent cx="2602865" cy="1952625"/>
            <wp:effectExtent l="0" t="0" r="6985" b="9525"/>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5"/>
                    <pic:cNvPicPr>
                      <a:picLocks noChangeAspect="1"/>
                    </pic:cNvPicPr>
                  </pic:nvPicPr>
                  <pic:blipFill>
                    <a:blip r:embed="rId8"/>
                    <a:stretch>
                      <a:fillRect/>
                    </a:stretch>
                  </pic:blipFill>
                  <pic:spPr>
                    <a:xfrm>
                      <a:off x="0" y="0"/>
                      <a:ext cx="2602865" cy="1952625"/>
                    </a:xfrm>
                    <a:prstGeom prst="rect">
                      <a:avLst/>
                    </a:prstGeom>
                  </pic:spPr>
                </pic:pic>
              </a:graphicData>
            </a:graphic>
          </wp:inline>
        </w:drawing>
      </w:r>
      <w:r>
        <w:rPr>
          <w:rFonts w:hint="eastAsia" w:ascii="宋体" w:hAnsi="宋体" w:eastAsia="宋体" w:cs="宋体"/>
          <w:color w:val="auto"/>
          <w:sz w:val="24"/>
          <w:lang w:eastAsia="zh-CN"/>
        </w:rPr>
        <w:drawing>
          <wp:inline distT="0" distB="0" distL="114300" distR="114300">
            <wp:extent cx="2611755" cy="1958975"/>
            <wp:effectExtent l="0" t="0" r="17145" b="3175"/>
            <wp:docPr id="5" name="图片 5" descr="7d8679dccebb4f81a0a8686b15b6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8679dccebb4f81a0a8686b15b63f1"/>
                    <pic:cNvPicPr>
                      <a:picLocks noChangeAspect="1"/>
                    </pic:cNvPicPr>
                  </pic:nvPicPr>
                  <pic:blipFill>
                    <a:blip r:embed="rId9"/>
                    <a:stretch>
                      <a:fillRect/>
                    </a:stretch>
                  </pic:blipFill>
                  <pic:spPr>
                    <a:xfrm>
                      <a:off x="0" y="0"/>
                      <a:ext cx="2611755" cy="1958975"/>
                    </a:xfrm>
                    <a:prstGeom prst="rect">
                      <a:avLst/>
                    </a:prstGeom>
                  </pic:spPr>
                </pic:pic>
              </a:graphicData>
            </a:graphic>
          </wp:inline>
        </w:drawing>
      </w:r>
    </w:p>
    <w:p>
      <w:pPr>
        <w:widowControl/>
        <w:spacing w:line="360" w:lineRule="auto"/>
        <w:jc w:val="both"/>
        <w:rPr>
          <w:rStyle w:val="7"/>
          <w:rFonts w:ascii="楷体_GB2312" w:hAnsi="楷体_GB2312" w:eastAsia="楷体_GB2312" w:cs="楷体_GB2312"/>
          <w:bCs/>
          <w:color w:val="auto"/>
          <w:spacing w:val="8"/>
          <w:kern w:val="0"/>
          <w:sz w:val="30"/>
          <w:szCs w:val="30"/>
          <w:shd w:val="clear" w:color="auto" w:fill="FFFFFF"/>
          <w:lang w:bidi="ar"/>
        </w:rPr>
      </w:pPr>
      <w:r>
        <w:rPr>
          <w:rStyle w:val="7"/>
          <w:rFonts w:hint="eastAsia" w:ascii="楷体_GB2312" w:hAnsi="楷体_GB2312" w:eastAsia="楷体_GB2312" w:cs="楷体_GB2312"/>
          <w:bCs/>
          <w:color w:val="auto"/>
          <w:spacing w:val="8"/>
          <w:kern w:val="0"/>
          <w:sz w:val="30"/>
          <w:szCs w:val="30"/>
          <w:shd w:val="clear" w:color="auto" w:fill="FFFFFF"/>
          <w:lang w:bidi="ar"/>
        </w:rPr>
        <w:t>四、课程设置及考取证书情况</w:t>
      </w:r>
    </w:p>
    <w:p>
      <w:pPr>
        <w:widowControl/>
        <w:spacing w:line="360" w:lineRule="auto"/>
        <w:ind w:firstLine="480" w:firstLineChars="200"/>
        <w:rPr>
          <w:rFonts w:hint="eastAsia" w:ascii="楷体" w:hAnsi="楷体" w:eastAsia="楷体" w:cs="宋体"/>
          <w:color w:val="auto"/>
          <w:kern w:val="0"/>
          <w:sz w:val="24"/>
        </w:rPr>
      </w:pPr>
      <w:r>
        <w:rPr>
          <w:rFonts w:hint="eastAsia" w:ascii="楷体" w:hAnsi="楷体" w:eastAsia="楷体" w:cs="宋体"/>
          <w:color w:val="auto"/>
          <w:kern w:val="0"/>
          <w:sz w:val="24"/>
        </w:rPr>
        <w:t>1.课程设置</w:t>
      </w:r>
    </w:p>
    <w:p>
      <w:pPr>
        <w:widowControl/>
        <w:spacing w:line="360" w:lineRule="auto"/>
        <w:ind w:firstLine="480" w:firstLineChars="200"/>
        <w:rPr>
          <w:rFonts w:ascii="楷体" w:hAnsi="楷体" w:eastAsia="楷体" w:cs="宋体"/>
          <w:color w:val="auto"/>
          <w:kern w:val="0"/>
          <w:sz w:val="24"/>
        </w:rPr>
      </w:pPr>
      <w:r>
        <w:rPr>
          <w:rFonts w:hint="eastAsia" w:ascii="楷体" w:hAnsi="楷体" w:eastAsia="楷体" w:cs="宋体"/>
          <w:color w:val="auto"/>
          <w:kern w:val="0"/>
          <w:sz w:val="24"/>
        </w:rPr>
        <w:t>根据专业培养目标和学院实际情况，开设有眼科与视功能检查、验光技术、双眼视功能检查分析与处理、接触镜验配技 术、眼镜定配技术、眼视光常用仪器设备、眼镜营销与眼镜店管理等核心课程，以及思想政治理论、大学生职业发展与就业指导、心理健康教育等公共课程，拓展学生视野，增强学生核心竞争力。</w:t>
      </w:r>
    </w:p>
    <w:p>
      <w:pPr>
        <w:widowControl/>
        <w:numPr>
          <w:ilvl w:val="0"/>
          <w:numId w:val="0"/>
        </w:numPr>
        <w:spacing w:line="360" w:lineRule="auto"/>
        <w:ind w:firstLine="480" w:firstLineChars="200"/>
        <w:rPr>
          <w:rFonts w:hint="eastAsia" w:ascii="楷体" w:hAnsi="楷体" w:eastAsia="楷体" w:cs="宋体"/>
          <w:color w:val="auto"/>
          <w:kern w:val="0"/>
          <w:sz w:val="24"/>
        </w:rPr>
      </w:pPr>
      <w:r>
        <w:rPr>
          <w:rFonts w:hint="eastAsia" w:ascii="楷体" w:hAnsi="楷体" w:eastAsia="楷体" w:cs="宋体"/>
          <w:color w:val="auto"/>
          <w:kern w:val="0"/>
          <w:sz w:val="24"/>
          <w:lang w:val="en-US" w:eastAsia="zh-CN"/>
        </w:rPr>
        <w:t>2.</w:t>
      </w:r>
      <w:r>
        <w:rPr>
          <w:rFonts w:hint="eastAsia" w:ascii="楷体" w:hAnsi="楷体" w:eastAsia="楷体" w:cs="宋体"/>
          <w:color w:val="auto"/>
          <w:kern w:val="0"/>
          <w:sz w:val="24"/>
        </w:rPr>
        <w:t>考取证书情况</w:t>
      </w:r>
    </w:p>
    <w:p>
      <w:pPr>
        <w:widowControl/>
        <w:numPr>
          <w:ilvl w:val="0"/>
          <w:numId w:val="0"/>
        </w:numPr>
        <w:spacing w:line="360" w:lineRule="auto"/>
        <w:ind w:firstLine="480" w:firstLineChars="200"/>
        <w:rPr>
          <w:rFonts w:ascii="楷体" w:hAnsi="楷体" w:eastAsia="楷体" w:cs="宋体"/>
          <w:color w:val="auto"/>
          <w:kern w:val="0"/>
          <w:sz w:val="24"/>
        </w:rPr>
      </w:pPr>
      <w:r>
        <w:rPr>
          <w:rFonts w:hint="eastAsia" w:ascii="楷体" w:hAnsi="楷体" w:eastAsia="楷体" w:cs="宋体"/>
          <w:color w:val="auto"/>
          <w:kern w:val="0"/>
          <w:sz w:val="24"/>
        </w:rPr>
        <w:t>眼视光技术专业学生毕业一年后可参加国家卫生专业技术资格考试眼视光技术考试，成绩合格可取得眼视光技术（师）资格证书；在校学习期间可参加人社部职业技能考试，考取眼镜验光员(初级/中级/高级/技师/高级技师)、眼镜定配工(初级/中级/高级/技师)等证书；</w:t>
      </w:r>
      <w:r>
        <w:rPr>
          <w:rFonts w:hint="eastAsia" w:ascii="楷体" w:hAnsi="楷体" w:eastAsia="楷体" w:cs="宋体"/>
          <w:color w:val="auto"/>
          <w:kern w:val="0"/>
          <w:sz w:val="24"/>
          <w:lang w:eastAsia="zh-CN"/>
        </w:rPr>
        <w:t>也</w:t>
      </w:r>
      <w:r>
        <w:rPr>
          <w:rFonts w:hint="eastAsia" w:ascii="楷体" w:hAnsi="楷体" w:eastAsia="楷体" w:cs="宋体"/>
          <w:color w:val="auto"/>
          <w:kern w:val="0"/>
          <w:sz w:val="24"/>
        </w:rPr>
        <w:t>可考取医护英语（METS）等级证书、“1+X”等级等证书。</w:t>
      </w:r>
    </w:p>
    <w:p>
      <w:pPr>
        <w:widowControl/>
        <w:spacing w:line="360" w:lineRule="auto"/>
        <w:jc w:val="left"/>
        <w:rPr>
          <w:rStyle w:val="7"/>
          <w:rFonts w:ascii="楷体_GB2312" w:hAnsi="楷体_GB2312" w:eastAsia="楷体_GB2312" w:cs="楷体_GB2312"/>
          <w:bCs/>
          <w:color w:val="auto"/>
          <w:spacing w:val="8"/>
          <w:kern w:val="0"/>
          <w:sz w:val="30"/>
          <w:szCs w:val="30"/>
          <w:shd w:val="clear" w:color="auto" w:fill="FFFFFF"/>
          <w:lang w:bidi="ar"/>
        </w:rPr>
      </w:pPr>
      <w:bookmarkStart w:id="0" w:name="_Toc35345003"/>
      <w:r>
        <w:rPr>
          <w:rStyle w:val="7"/>
          <w:rFonts w:hint="eastAsia" w:ascii="楷体_GB2312" w:hAnsi="楷体_GB2312" w:eastAsia="楷体_GB2312" w:cs="楷体_GB2312"/>
          <w:bCs/>
          <w:color w:val="auto"/>
          <w:spacing w:val="8"/>
          <w:kern w:val="0"/>
          <w:sz w:val="30"/>
          <w:szCs w:val="30"/>
          <w:shd w:val="clear" w:color="auto" w:fill="FFFFFF"/>
          <w:lang w:bidi="ar"/>
        </w:rPr>
        <w:t>五、实训条件</w:t>
      </w:r>
    </w:p>
    <w:p>
      <w:pPr>
        <w:pStyle w:val="4"/>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1.校内实训基地</w:t>
      </w:r>
    </w:p>
    <w:p>
      <w:pPr>
        <w:numPr>
          <w:ilvl w:val="0"/>
          <w:numId w:val="0"/>
        </w:numPr>
        <w:spacing w:line="360" w:lineRule="auto"/>
        <w:ind w:firstLine="480" w:firstLineChars="200"/>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眼视光技术专业所在的医学技术系校内实验实训室面积达1500多平方米，设备总价值550余万元，建有医学验光实训室（现有设备包括</w:t>
      </w:r>
      <w:r>
        <w:rPr>
          <w:rFonts w:hint="default" w:ascii="楷体_GB2312" w:hAnsi="楷体_GB2312" w:eastAsia="楷体_GB2312" w:cs="楷体_GB2312"/>
          <w:color w:val="auto"/>
          <w:kern w:val="0"/>
          <w:sz w:val="24"/>
          <w:szCs w:val="24"/>
          <w:shd w:val="clear" w:color="auto" w:fill="FFFFFF"/>
          <w:lang w:val="en-US" w:eastAsia="zh-CN" w:bidi="ar-SA"/>
        </w:rPr>
        <w:t>牛眼验光仪、视力表灯箱、电脑验光仪、插片箱、裂隙灯、角膜曲率计、眼压计</w:t>
      </w:r>
      <w:r>
        <w:rPr>
          <w:rFonts w:hint="eastAsia" w:ascii="楷体_GB2312" w:hAnsi="楷体_GB2312" w:eastAsia="楷体_GB2312" w:cs="楷体_GB2312"/>
          <w:color w:val="auto"/>
          <w:kern w:val="0"/>
          <w:sz w:val="24"/>
          <w:szCs w:val="24"/>
          <w:shd w:val="clear" w:color="auto" w:fill="FFFFFF"/>
          <w:lang w:val="en-US" w:eastAsia="zh-CN" w:bidi="ar-SA"/>
        </w:rPr>
        <w:t>等），可承担眼睛光学技术、眼科学基础、眼屈光检查、验光技术、视光诊疗新技术、眼视光常用仪器设备、接触镜验配技术、眼视光礼仪服务等课程的实训教学。可开展基础屈光检查（主观验光、客观验光）、角膜曲率测量与眼压检测、裂隙灯显微镜操作与眼前节检查等实训项目；眼镜定配实训室（现有设备包括</w:t>
      </w:r>
      <w:r>
        <w:rPr>
          <w:rFonts w:hint="default" w:ascii="楷体_GB2312" w:hAnsi="楷体_GB2312" w:eastAsia="楷体_GB2312" w:cs="楷体_GB2312"/>
          <w:color w:val="auto"/>
          <w:kern w:val="0"/>
          <w:sz w:val="24"/>
          <w:szCs w:val="24"/>
          <w:shd w:val="clear" w:color="auto" w:fill="FFFFFF"/>
          <w:lang w:val="en-US" w:eastAsia="zh-CN" w:bidi="ar-SA"/>
        </w:rPr>
        <w:t>半自动磨边机、镜片倒边机、砂轮机、镜片开槽机、整形加热器、超声波清洗机、中心定位仪、样板打孔机、焦度计、眼镜修理工具</w:t>
      </w:r>
      <w:r>
        <w:rPr>
          <w:rFonts w:hint="eastAsia" w:ascii="楷体_GB2312" w:hAnsi="楷体_GB2312" w:eastAsia="楷体_GB2312" w:cs="楷体_GB2312"/>
          <w:color w:val="auto"/>
          <w:kern w:val="0"/>
          <w:sz w:val="24"/>
          <w:szCs w:val="24"/>
          <w:shd w:val="clear" w:color="auto" w:fill="FFFFFF"/>
          <w:lang w:val="en-US" w:eastAsia="zh-CN" w:bidi="ar-SA"/>
        </w:rPr>
        <w:t>等），可承担眼镜光学技术、眼镜定配技术、眼镜与美学、眼镜维修检测技术、眼视光常用仪器设备等课程的实训教学。可开展镜片加工与磨边技术、眼镜架调整与维修、镜片中心定位与装配等课程内容的综合实践实训教学；模拟眼镜店（现有设备包括</w:t>
      </w:r>
      <w:r>
        <w:rPr>
          <w:rFonts w:hint="default" w:ascii="楷体_GB2312" w:hAnsi="楷体_GB2312" w:eastAsia="楷体_GB2312" w:cs="楷体_GB2312"/>
          <w:color w:val="auto"/>
          <w:kern w:val="0"/>
          <w:sz w:val="24"/>
          <w:szCs w:val="24"/>
          <w:shd w:val="clear" w:color="auto" w:fill="FFFFFF"/>
          <w:lang w:val="en-US" w:eastAsia="zh-CN" w:bidi="ar-SA"/>
        </w:rPr>
        <w:t>展示柜台、综合验光仪</w:t>
      </w:r>
      <w:r>
        <w:rPr>
          <w:rFonts w:hint="eastAsia" w:ascii="楷体_GB2312" w:hAnsi="楷体_GB2312" w:eastAsia="楷体_GB2312" w:cs="楷体_GB2312"/>
          <w:color w:val="auto"/>
          <w:kern w:val="0"/>
          <w:sz w:val="24"/>
          <w:szCs w:val="24"/>
          <w:shd w:val="clear" w:color="auto" w:fill="FFFFFF"/>
          <w:lang w:val="en-US" w:eastAsia="zh-CN" w:bidi="ar-SA"/>
        </w:rPr>
        <w:t>、眼镜架陈列区等），可承担眼镜店管理、眼镜营销实务、眼镜与美学、眼视光礼仪服务等课程的实训教学。可开展眼镜销售流程模拟、顾客沟通与验光服务综合实践实训教学。</w:t>
      </w:r>
    </w:p>
    <w:p>
      <w:pPr>
        <w:numPr>
          <w:ilvl w:val="0"/>
          <w:numId w:val="0"/>
        </w:numPr>
        <w:spacing w:line="360" w:lineRule="auto"/>
        <w:rPr>
          <w:rFonts w:hint="default"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 xml:space="preserve">   </w:t>
      </w:r>
      <w:r>
        <w:rPr>
          <w:rFonts w:hint="default" w:ascii="楷体_GB2312" w:hAnsi="楷体_GB2312" w:eastAsia="楷体_GB2312" w:cs="楷体_GB2312"/>
          <w:color w:val="auto"/>
          <w:kern w:val="0"/>
          <w:sz w:val="24"/>
          <w:szCs w:val="24"/>
          <w:shd w:val="clear" w:color="auto" w:fill="FFFFFF"/>
          <w:lang w:val="en-US" w:eastAsia="zh-CN" w:bidi="ar-SA"/>
        </w:rPr>
        <w:drawing>
          <wp:inline distT="0" distB="0" distL="114300" distR="114300">
            <wp:extent cx="2441575" cy="1831340"/>
            <wp:effectExtent l="0" t="0" r="15875" b="16510"/>
            <wp:docPr id="6" name="图片 6" descr="56650dc2256f9bd321c524d2330c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650dc2256f9bd321c524d2330cc5e"/>
                    <pic:cNvPicPr>
                      <a:picLocks noChangeAspect="1"/>
                    </pic:cNvPicPr>
                  </pic:nvPicPr>
                  <pic:blipFill>
                    <a:blip r:embed="rId10"/>
                    <a:stretch>
                      <a:fillRect/>
                    </a:stretch>
                  </pic:blipFill>
                  <pic:spPr>
                    <a:xfrm>
                      <a:off x="0" y="0"/>
                      <a:ext cx="2441575" cy="1831340"/>
                    </a:xfrm>
                    <a:prstGeom prst="rect">
                      <a:avLst/>
                    </a:prstGeom>
                  </pic:spPr>
                </pic:pic>
              </a:graphicData>
            </a:graphic>
          </wp:inline>
        </w:drawing>
      </w:r>
      <w:r>
        <w:rPr>
          <w:rFonts w:hint="default" w:ascii="楷体_GB2312" w:hAnsi="楷体_GB2312" w:eastAsia="楷体_GB2312" w:cs="楷体_GB2312"/>
          <w:color w:val="auto"/>
          <w:kern w:val="0"/>
          <w:sz w:val="24"/>
          <w:szCs w:val="24"/>
          <w:shd w:val="clear" w:color="auto" w:fill="FFFFFF"/>
          <w:lang w:val="en-US" w:eastAsia="zh-CN" w:bidi="ar-SA"/>
        </w:rPr>
        <w:drawing>
          <wp:inline distT="0" distB="0" distL="114300" distR="114300">
            <wp:extent cx="2447290" cy="1835785"/>
            <wp:effectExtent l="0" t="0" r="10160" b="12065"/>
            <wp:docPr id="7" name="图片 7" descr="9ae3b3ada2eb3ab4aadae4ca04b2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ae3b3ada2eb3ab4aadae4ca04b207a"/>
                    <pic:cNvPicPr>
                      <a:picLocks noChangeAspect="1"/>
                    </pic:cNvPicPr>
                  </pic:nvPicPr>
                  <pic:blipFill>
                    <a:blip r:embed="rId11"/>
                    <a:stretch>
                      <a:fillRect/>
                    </a:stretch>
                  </pic:blipFill>
                  <pic:spPr>
                    <a:xfrm>
                      <a:off x="0" y="0"/>
                      <a:ext cx="2447290" cy="1835785"/>
                    </a:xfrm>
                    <a:prstGeom prst="rect">
                      <a:avLst/>
                    </a:prstGeom>
                  </pic:spPr>
                </pic:pic>
              </a:graphicData>
            </a:graphic>
          </wp:inline>
        </w:drawing>
      </w:r>
    </w:p>
    <w:p>
      <w:pPr>
        <w:pStyle w:val="4"/>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校外实训基地</w:t>
      </w:r>
    </w:p>
    <w:p>
      <w:pPr>
        <w:pStyle w:val="4"/>
        <w:widowControl/>
        <w:numPr>
          <w:ilvl w:val="0"/>
          <w:numId w:val="0"/>
        </w:numPr>
        <w:spacing w:beforeAutospacing="0" w:afterAutospacing="0" w:line="360" w:lineRule="auto"/>
        <w:ind w:firstLine="480" w:firstLineChars="200"/>
        <w:jc w:val="both"/>
        <w:rPr>
          <w:rStyle w:val="7"/>
          <w:rFonts w:asciiTheme="minorHAnsi" w:hAnsiTheme="minorHAnsi" w:eastAsiaTheme="minorEastAsia" w:cstheme="minorBidi"/>
          <w:b w:val="0"/>
          <w:color w:val="auto"/>
        </w:rPr>
      </w:pPr>
      <w:r>
        <w:rPr>
          <w:rFonts w:hint="eastAsia" w:ascii="楷体" w:hAnsi="楷体" w:eastAsia="楷体" w:cs="宋体"/>
          <w:color w:val="auto"/>
        </w:rPr>
        <w:t>眼视光技术专业注重学生的实践操作能力的培养，与山东省立医院、山东大学齐鲁医院、济南市中心医院、</w:t>
      </w:r>
      <w:r>
        <w:rPr>
          <w:rFonts w:hint="eastAsia" w:ascii="楷体" w:hAnsi="楷体" w:eastAsia="楷体" w:cs="宋体"/>
          <w:color w:val="auto"/>
          <w:lang w:eastAsia="zh-CN"/>
        </w:rPr>
        <w:t>济南市明水眼科医院、</w:t>
      </w:r>
      <w:r>
        <w:rPr>
          <w:rFonts w:hint="eastAsia" w:ascii="楷体" w:hAnsi="楷体" w:eastAsia="楷体" w:cs="宋体"/>
          <w:color w:val="auto"/>
        </w:rPr>
        <w:t>济南市第一人民医院、济南市第二人民医院等省内外医疗机构以及爱尔眼科医院、麦迪格眼科医院等行业龙头企业建立实践教学实训基地，</w:t>
      </w:r>
      <w:r>
        <w:rPr>
          <w:rFonts w:hint="eastAsia" w:ascii="楷体_GB2312" w:hAnsi="楷体_GB2312" w:eastAsia="楷体_GB2312" w:cs="楷体_GB2312"/>
          <w:color w:val="auto"/>
          <w:shd w:val="clear" w:color="auto" w:fill="FFFFFF"/>
        </w:rPr>
        <w:t>为学生提供实训、实习等机会</w:t>
      </w:r>
      <w:r>
        <w:rPr>
          <w:rFonts w:hint="eastAsia" w:ascii="楷体_GB2312" w:hAnsi="楷体_GB2312" w:eastAsia="楷体_GB2312" w:cs="楷体_GB2312"/>
          <w:color w:val="auto"/>
          <w:shd w:val="clear" w:color="auto" w:fill="FFFFFF"/>
          <w:lang w:eastAsia="zh-CN"/>
        </w:rPr>
        <w:t>，</w:t>
      </w:r>
      <w:r>
        <w:rPr>
          <w:rFonts w:hint="eastAsia" w:ascii="楷体" w:hAnsi="楷体" w:eastAsia="楷体" w:cs="宋体"/>
          <w:color w:val="auto"/>
        </w:rPr>
        <w:t>有效地保障了课程实训的质量。</w:t>
      </w:r>
    </w:p>
    <w:p>
      <w:pPr>
        <w:jc w:val="both"/>
        <w:rPr>
          <w:rStyle w:val="7"/>
          <w:rFonts w:hint="eastAsia" w:asciiTheme="minorHAnsi" w:hAnsiTheme="minorHAnsi" w:eastAsiaTheme="minorEastAsia" w:cstheme="minorBidi"/>
          <w:b w:val="0"/>
          <w:color w:val="auto"/>
          <w:lang w:eastAsia="zh-CN"/>
        </w:rPr>
      </w:pPr>
      <w:r>
        <w:rPr>
          <w:rStyle w:val="7"/>
          <w:rFonts w:hint="eastAsia" w:asciiTheme="minorHAnsi" w:hAnsiTheme="minorHAnsi" w:eastAsiaTheme="minorEastAsia" w:cstheme="minorBidi"/>
          <w:b w:val="0"/>
          <w:color w:val="auto"/>
          <w:lang w:eastAsia="zh-CN"/>
        </w:rPr>
        <w:drawing>
          <wp:inline distT="0" distB="0" distL="114300" distR="114300">
            <wp:extent cx="2573655" cy="1931035"/>
            <wp:effectExtent l="0" t="0" r="17145" b="12065"/>
            <wp:docPr id="10" name="图片 10" descr="11186b96db727f2ef6bf9218299c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86b96db727f2ef6bf9218299c1c3"/>
                    <pic:cNvPicPr>
                      <a:picLocks noChangeAspect="1"/>
                    </pic:cNvPicPr>
                  </pic:nvPicPr>
                  <pic:blipFill>
                    <a:blip r:embed="rId12"/>
                    <a:stretch>
                      <a:fillRect/>
                    </a:stretch>
                  </pic:blipFill>
                  <pic:spPr>
                    <a:xfrm>
                      <a:off x="0" y="0"/>
                      <a:ext cx="2573655" cy="1931035"/>
                    </a:xfrm>
                    <a:prstGeom prst="rect">
                      <a:avLst/>
                    </a:prstGeom>
                  </pic:spPr>
                </pic:pic>
              </a:graphicData>
            </a:graphic>
          </wp:inline>
        </w:drawing>
      </w:r>
      <w:r>
        <w:rPr>
          <w:rStyle w:val="7"/>
          <w:rFonts w:hint="eastAsia" w:asciiTheme="minorHAnsi" w:hAnsiTheme="minorHAnsi" w:eastAsiaTheme="minorEastAsia" w:cstheme="minorBidi"/>
          <w:b w:val="0"/>
          <w:color w:val="auto"/>
          <w:lang w:eastAsia="zh-CN"/>
        </w:rPr>
        <w:drawing>
          <wp:inline distT="0" distB="0" distL="114300" distR="114300">
            <wp:extent cx="2587625" cy="1940560"/>
            <wp:effectExtent l="0" t="0" r="3175" b="2540"/>
            <wp:docPr id="11" name="图片 11" descr="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52"/>
                    <pic:cNvPicPr>
                      <a:picLocks noChangeAspect="1"/>
                    </pic:cNvPicPr>
                  </pic:nvPicPr>
                  <pic:blipFill>
                    <a:blip r:embed="rId13"/>
                    <a:stretch>
                      <a:fillRect/>
                    </a:stretch>
                  </pic:blipFill>
                  <pic:spPr>
                    <a:xfrm>
                      <a:off x="0" y="0"/>
                      <a:ext cx="2587625" cy="1940560"/>
                    </a:xfrm>
                    <a:prstGeom prst="rect">
                      <a:avLst/>
                    </a:prstGeom>
                  </pic:spPr>
                </pic:pic>
              </a:graphicData>
            </a:graphic>
          </wp:inline>
        </w:drawing>
      </w:r>
    </w:p>
    <w:p>
      <w:pPr>
        <w:widowControl/>
        <w:spacing w:line="360" w:lineRule="auto"/>
        <w:jc w:val="left"/>
        <w:rPr>
          <w:rStyle w:val="7"/>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7"/>
          <w:rFonts w:hint="eastAsia" w:ascii="楷体_GB2312" w:hAnsi="楷体_GB2312" w:eastAsia="楷体_GB2312" w:cs="楷体_GB2312"/>
          <w:bCs/>
          <w:color w:val="auto"/>
          <w:spacing w:val="8"/>
          <w:kern w:val="0"/>
          <w:sz w:val="24"/>
          <w:szCs w:val="24"/>
          <w:shd w:val="clear" w:color="auto" w:fill="FFFFFF"/>
          <w:lang w:bidi="ar"/>
        </w:rPr>
        <w:t>六、</w:t>
      </w:r>
      <w:r>
        <w:rPr>
          <w:rStyle w:val="7"/>
          <w:rFonts w:hint="eastAsia" w:ascii="楷体_GB2312" w:hAnsi="楷体_GB2312" w:eastAsia="楷体_GB2312" w:cs="楷体_GB2312"/>
          <w:bCs/>
          <w:color w:val="auto"/>
          <w:spacing w:val="8"/>
          <w:kern w:val="0"/>
          <w:sz w:val="24"/>
          <w:szCs w:val="24"/>
          <w:shd w:val="clear" w:color="auto" w:fill="FFFFFF"/>
          <w:lang w:val="en-US" w:eastAsia="zh-CN" w:bidi="ar"/>
        </w:rPr>
        <w:t>创新创业</w:t>
      </w:r>
      <w:r>
        <w:rPr>
          <w:rStyle w:val="7"/>
          <w:rFonts w:hint="eastAsia" w:ascii="楷体_GB2312" w:hAnsi="楷体_GB2312" w:eastAsia="楷体_GB2312" w:cs="楷体_GB2312"/>
          <w:bCs/>
          <w:color w:val="auto"/>
          <w:spacing w:val="8"/>
          <w:kern w:val="0"/>
          <w:sz w:val="24"/>
          <w:szCs w:val="24"/>
          <w:shd w:val="clear" w:color="auto" w:fill="FFFFFF"/>
          <w:lang w:bidi="ar"/>
        </w:rPr>
        <w:t>与</w:t>
      </w:r>
      <w:r>
        <w:rPr>
          <w:rStyle w:val="7"/>
          <w:rFonts w:hint="eastAsia" w:ascii="楷体_GB2312" w:hAnsi="楷体_GB2312" w:eastAsia="楷体_GB2312" w:cs="楷体_GB2312"/>
          <w:bCs/>
          <w:color w:val="auto"/>
          <w:spacing w:val="8"/>
          <w:kern w:val="0"/>
          <w:sz w:val="24"/>
          <w:szCs w:val="24"/>
          <w:shd w:val="clear" w:color="auto" w:fill="FFFFFF"/>
          <w:lang w:val="en-US" w:eastAsia="zh-CN" w:bidi="ar"/>
        </w:rPr>
        <w:t>学历提升</w:t>
      </w:r>
    </w:p>
    <w:p>
      <w:pPr>
        <w:pStyle w:val="4"/>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1.创新创业大赛</w:t>
      </w:r>
    </w:p>
    <w:p>
      <w:pPr>
        <w:pStyle w:val="4"/>
        <w:widowControl/>
        <w:spacing w:beforeAutospacing="0" w:afterAutospacing="0" w:line="360" w:lineRule="auto"/>
        <w:ind w:firstLine="480" w:firstLineChars="200"/>
        <w:jc w:val="both"/>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pPr>
      <w:r>
        <w:rPr>
          <w:rFonts w:hint="eastAsia" w:ascii="楷体_GB2312" w:hAnsi="楷体_GB2312" w:eastAsia="楷体_GB2312" w:cs="楷体_GB2312"/>
          <w:color w:val="auto"/>
          <w:shd w:val="clear" w:color="auto" w:fill="FFFFFF"/>
          <w:lang w:val="en-US" w:eastAsia="zh-CN"/>
        </w:rPr>
        <w:t>我院眼视光专业不定期开展“企业家课堂”、“创业论坛”等创业专题活动，邀请创业成功人士、创业项目投资者、工作领域创新者等到学校介绍创业知识、讲授创业经验、传承创新精神。该专业学生近年来在创新创业比赛中崭露头角，屡创佳绩。本专业学生在2024年“建行杯”山东省大学生创新大赛中获得银奖。</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 xml:space="preserve">创新创业大赛活动的参与，让学生获得宝贵的模拟创业经历，积累创业知识，培养创业意识和创业能力，锻炼团队精神。      </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2.技能大赛</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 xml:space="preserve">眼视光技术专业致力于教育教学改革及学生岗位操作能力提升，完善了“系赛-院赛-省赛-国赛”四级大赛体系，达到了“以赛促教、以赛促学、以赛促建、以赛促研”的目的。眼视光技术专业学生在2024年由济南市人力资源和社会保障局、济南市总工会、共青团济南市委、济南市妇联、济南市眼视光与眼镜协会联合主办“技耀泉城”验光配镜职业技能竞赛中斩获佳绩，最终斩获一等奖1名、三等奖3名、优秀奖多名的优异成绩。  </w:t>
      </w:r>
    </w:p>
    <w:p>
      <w:pPr>
        <w:widowControl/>
        <w:spacing w:line="360" w:lineRule="auto"/>
        <w:jc w:val="left"/>
        <w:rPr>
          <w:rFonts w:hint="eastAsia" w:ascii="楷体_GB2312" w:hAnsi="楷体_GB2312" w:eastAsia="楷体_GB2312" w:cs="楷体_GB2312"/>
          <w:color w:val="auto"/>
          <w:shd w:val="clear" w:color="auto" w:fill="FFFFFF"/>
        </w:rPr>
      </w:pPr>
    </w:p>
    <w:p>
      <w:pPr>
        <w:widowControl/>
        <w:spacing w:line="360" w:lineRule="auto"/>
        <w:jc w:val="left"/>
        <w:rPr>
          <w:rFonts w:hint="eastAsia" w:ascii="楷体_GB2312" w:hAnsi="楷体_GB2312" w:eastAsia="楷体_GB2312" w:cs="楷体_GB2312"/>
          <w:color w:val="auto"/>
          <w:shd w:val="clear" w:color="auto" w:fill="FFFFFF"/>
        </w:rPr>
      </w:pPr>
    </w:p>
    <w:p>
      <w:pPr>
        <w:widowControl/>
        <w:spacing w:line="360" w:lineRule="auto"/>
        <w:jc w:val="left"/>
        <w:rPr>
          <w:rFonts w:hint="eastAsia" w:ascii="楷体_GB2312" w:hAnsi="楷体_GB2312" w:eastAsia="楷体_GB2312" w:cs="楷体_GB2312"/>
          <w:color w:val="auto"/>
          <w:shd w:val="clear" w:color="auto" w:fill="FFFFFF"/>
        </w:rPr>
      </w:pPr>
    </w:p>
    <w:p>
      <w:pPr>
        <w:widowControl/>
        <w:spacing w:line="360" w:lineRule="auto"/>
        <w:jc w:val="left"/>
        <w:rPr>
          <w:rFonts w:hint="eastAsia" w:ascii="楷体_GB2312" w:hAnsi="楷体_GB2312" w:eastAsia="楷体_GB2312" w:cs="楷体_GB2312"/>
          <w:color w:val="auto"/>
          <w:shd w:val="clear" w:color="auto" w:fill="FFFFFF"/>
        </w:rPr>
      </w:pPr>
      <w:r>
        <w:rPr>
          <w:rFonts w:hint="eastAsia" w:ascii="宋体" w:hAnsi="宋体" w:eastAsia="宋体" w:cs="宋体"/>
          <w:sz w:val="28"/>
          <w:szCs w:val="28"/>
        </w:rPr>
        <w:drawing>
          <wp:inline distT="0" distB="0" distL="114300" distR="114300">
            <wp:extent cx="2533015" cy="1873885"/>
            <wp:effectExtent l="0" t="0" r="635" b="12065"/>
            <wp:docPr id="12" name="图片 1" descr="23眼视光验光配镜大赛证书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23眼视光验光配镜大赛证书_17"/>
                    <pic:cNvPicPr>
                      <a:picLocks noChangeAspect="1"/>
                    </pic:cNvPicPr>
                  </pic:nvPicPr>
                  <pic:blipFill>
                    <a:blip r:embed="rId14"/>
                    <a:stretch>
                      <a:fillRect/>
                    </a:stretch>
                  </pic:blipFill>
                  <pic:spPr>
                    <a:xfrm>
                      <a:off x="0" y="0"/>
                      <a:ext cx="2533015" cy="1873885"/>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1883410" cy="2613025"/>
            <wp:effectExtent l="0" t="0" r="15875" b="2540"/>
            <wp:docPr id="14" name="图片 3" descr="23眼视光验光配镜大赛证书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23眼视光验光配镜大赛证书_15"/>
                    <pic:cNvPicPr>
                      <a:picLocks noChangeAspect="1"/>
                    </pic:cNvPicPr>
                  </pic:nvPicPr>
                  <pic:blipFill>
                    <a:blip r:embed="rId15"/>
                    <a:stretch>
                      <a:fillRect/>
                    </a:stretch>
                  </pic:blipFill>
                  <pic:spPr>
                    <a:xfrm rot="-5400000">
                      <a:off x="0" y="0"/>
                      <a:ext cx="1883410" cy="2613025"/>
                    </a:xfrm>
                    <a:prstGeom prst="rect">
                      <a:avLst/>
                    </a:prstGeom>
                    <a:noFill/>
                    <a:ln>
                      <a:noFill/>
                    </a:ln>
                  </pic:spPr>
                </pic:pic>
              </a:graphicData>
            </a:graphic>
          </wp:inline>
        </w:drawing>
      </w:r>
    </w:p>
    <w:p>
      <w:pPr>
        <w:widowControl/>
        <w:spacing w:line="360" w:lineRule="auto"/>
        <w:jc w:val="left"/>
        <w:rPr>
          <w:rStyle w:val="7"/>
          <w:rFonts w:ascii="楷体_GB2312" w:hAnsi="楷体_GB2312" w:eastAsia="楷体_GB2312" w:cs="楷体_GB2312"/>
          <w:bCs/>
          <w:color w:val="auto"/>
          <w:spacing w:val="8"/>
          <w:kern w:val="0"/>
          <w:sz w:val="24"/>
          <w:shd w:val="clear" w:color="auto" w:fill="FFFFFF"/>
          <w:lang w:bidi="ar"/>
        </w:rPr>
      </w:pPr>
      <w:r>
        <w:rPr>
          <w:rStyle w:val="7"/>
          <w:rFonts w:hint="eastAsia" w:ascii="楷体_GB2312" w:hAnsi="楷体_GB2312" w:eastAsia="楷体_GB2312" w:cs="楷体_GB2312"/>
          <w:bCs/>
          <w:color w:val="auto"/>
          <w:spacing w:val="8"/>
          <w:kern w:val="0"/>
          <w:sz w:val="24"/>
          <w:shd w:val="clear" w:color="auto" w:fill="FFFFFF"/>
          <w:lang w:bidi="ar"/>
        </w:rPr>
        <w:t>六、学历提升</w:t>
      </w:r>
    </w:p>
    <w:p>
      <w:pPr>
        <w:widowControl/>
        <w:spacing w:line="360" w:lineRule="auto"/>
        <w:ind w:firstLine="480" w:firstLineChars="200"/>
        <w:jc w:val="left"/>
        <w:rPr>
          <w:rFonts w:ascii="楷体_GB2312" w:hAnsi="楷体_GB2312" w:eastAsia="楷体_GB2312" w:cs="楷体_GB2312"/>
          <w:color w:val="auto"/>
          <w:kern w:val="0"/>
          <w:sz w:val="24"/>
          <w:shd w:val="clear" w:color="auto" w:fill="FFFFFF"/>
        </w:rPr>
      </w:pPr>
      <w:r>
        <w:rPr>
          <w:rFonts w:hint="eastAsia" w:ascii="楷体_GB2312" w:hAnsi="楷体_GB2312" w:eastAsia="楷体_GB2312" w:cs="楷体_GB2312"/>
          <w:color w:val="auto"/>
          <w:kern w:val="0"/>
          <w:sz w:val="24"/>
          <w:shd w:val="clear" w:color="auto" w:fill="FFFFFF"/>
        </w:rPr>
        <w:t>学生毕业当年可根据国家教育部和山东省教育厅发布的专升本通知，报考生物医学工程、医学影像技术、医学信息工程等相关专业，参加全省统一的专升本考试。专升本毕业的学生，第一学历为本科学历。</w:t>
      </w:r>
    </w:p>
    <w:p>
      <w:pPr>
        <w:widowControl/>
        <w:spacing w:line="360" w:lineRule="auto"/>
        <w:jc w:val="left"/>
        <w:rPr>
          <w:rStyle w:val="7"/>
          <w:rFonts w:ascii="楷体_GB2312" w:hAnsi="楷体_GB2312" w:eastAsia="楷体_GB2312" w:cs="楷体_GB2312"/>
          <w:bCs/>
          <w:color w:val="auto"/>
          <w:spacing w:val="8"/>
          <w:kern w:val="0"/>
          <w:sz w:val="24"/>
          <w:shd w:val="clear" w:color="auto" w:fill="FFFFFF"/>
          <w:lang w:bidi="ar"/>
        </w:rPr>
      </w:pPr>
      <w:bookmarkStart w:id="1" w:name="_Toc35345004"/>
      <w:r>
        <w:rPr>
          <w:rStyle w:val="7"/>
          <w:rFonts w:hint="eastAsia" w:ascii="楷体_GB2312" w:hAnsi="楷体_GB2312" w:eastAsia="楷体_GB2312" w:cs="楷体_GB2312"/>
          <w:bCs/>
          <w:color w:val="auto"/>
          <w:spacing w:val="8"/>
          <w:kern w:val="0"/>
          <w:sz w:val="24"/>
          <w:shd w:val="clear" w:color="auto" w:fill="FFFFFF"/>
          <w:lang w:bidi="ar"/>
        </w:rPr>
        <w:t>七、</w:t>
      </w:r>
      <w:bookmarkEnd w:id="1"/>
      <w:r>
        <w:rPr>
          <w:rStyle w:val="7"/>
          <w:rFonts w:hint="eastAsia" w:ascii="楷体_GB2312" w:hAnsi="楷体_GB2312" w:eastAsia="楷体_GB2312" w:cs="楷体_GB2312"/>
          <w:bCs/>
          <w:color w:val="auto"/>
          <w:spacing w:val="8"/>
          <w:kern w:val="0"/>
          <w:sz w:val="24"/>
          <w:shd w:val="clear" w:color="auto" w:fill="FFFFFF"/>
          <w:lang w:bidi="ar"/>
        </w:rPr>
        <w:t>实习与就业</w:t>
      </w:r>
    </w:p>
    <w:p>
      <w:pPr>
        <w:pStyle w:val="4"/>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bookmarkStart w:id="2" w:name="_Toc35345005"/>
      <w:r>
        <w:rPr>
          <w:rFonts w:hint="eastAsia" w:ascii="楷体_GB2312" w:hAnsi="楷体_GB2312" w:eastAsia="楷体_GB2312" w:cs="楷体_GB2312"/>
          <w:color w:val="auto"/>
          <w:shd w:val="clear" w:color="auto" w:fill="FFFFFF"/>
        </w:rPr>
        <w:t>1</w:t>
      </w:r>
      <w:bookmarkEnd w:id="2"/>
      <w:r>
        <w:rPr>
          <w:rFonts w:hint="eastAsia" w:ascii="楷体_GB2312" w:hAnsi="楷体_GB2312" w:eastAsia="楷体_GB2312" w:cs="楷体_GB2312"/>
          <w:color w:val="auto"/>
          <w:shd w:val="clear" w:color="auto" w:fill="FFFFFF"/>
        </w:rPr>
        <w:t>.校外实习基地</w:t>
      </w:r>
    </w:p>
    <w:p>
      <w:pPr>
        <w:widowControl/>
        <w:spacing w:line="360" w:lineRule="auto"/>
        <w:ind w:firstLine="480" w:firstLineChars="200"/>
        <w:jc w:val="left"/>
        <w:rPr>
          <w:rFonts w:hint="eastAsia" w:ascii="楷体_GB2312" w:hAnsi="楷体_GB2312" w:eastAsia="楷体_GB2312" w:cs="楷体_GB2312"/>
          <w:color w:val="auto"/>
          <w:kern w:val="0"/>
          <w:sz w:val="24"/>
          <w:shd w:val="clear" w:color="auto" w:fill="FFFFFF"/>
        </w:rPr>
      </w:pPr>
      <w:r>
        <w:rPr>
          <w:rFonts w:hint="eastAsia" w:ascii="楷体_GB2312" w:hAnsi="楷体_GB2312" w:eastAsia="楷体_GB2312" w:cs="楷体_GB2312"/>
          <w:color w:val="auto"/>
          <w:kern w:val="0"/>
          <w:sz w:val="24"/>
          <w:shd w:val="clear" w:color="auto" w:fill="FFFFFF"/>
        </w:rPr>
        <w:t>学院地处省会济南，实习条件优越。该专业校外实习基地包括</w:t>
      </w:r>
      <w:r>
        <w:rPr>
          <w:rFonts w:hint="eastAsia" w:ascii="楷体_GB2312" w:hAnsi="楷体_GB2312" w:eastAsia="楷体_GB2312" w:cs="楷体_GB2312"/>
          <w:color w:val="auto"/>
          <w:kern w:val="0"/>
          <w:sz w:val="24"/>
          <w:shd w:val="clear" w:color="auto" w:fill="FFFFFF"/>
          <w:lang w:eastAsia="zh-CN"/>
        </w:rPr>
        <w:t>山东省立医院、山东省眼科医院、</w:t>
      </w:r>
      <w:r>
        <w:rPr>
          <w:rFonts w:hint="eastAsia" w:ascii="楷体_GB2312" w:hAnsi="楷体_GB2312" w:eastAsia="楷体_GB2312" w:cs="楷体_GB2312"/>
          <w:color w:val="auto"/>
          <w:kern w:val="0"/>
          <w:sz w:val="24"/>
          <w:shd w:val="clear" w:color="auto" w:fill="FFFFFF"/>
        </w:rPr>
        <w:t>济南市第二人民医院、济南明水眼科医院、</w:t>
      </w:r>
      <w:r>
        <w:rPr>
          <w:rFonts w:hint="eastAsia" w:ascii="楷体" w:hAnsi="楷体" w:eastAsia="楷体" w:cs="宋体"/>
          <w:color w:val="auto"/>
          <w:kern w:val="0"/>
          <w:sz w:val="24"/>
          <w:lang w:eastAsia="zh-CN"/>
        </w:rPr>
        <w:t>山东惠盟天下医疗科技集团有限公司</w:t>
      </w:r>
      <w:r>
        <w:rPr>
          <w:rFonts w:hint="eastAsia" w:ascii="楷体_GB2312" w:hAnsi="楷体_GB2312" w:eastAsia="楷体_GB2312" w:cs="楷体_GB2312"/>
          <w:color w:val="auto"/>
          <w:kern w:val="0"/>
          <w:sz w:val="24"/>
          <w:shd w:val="clear" w:color="auto" w:fill="FFFFFF"/>
        </w:rPr>
        <w:t>、济南爱尔眼科医院等</w:t>
      </w:r>
      <w:r>
        <w:rPr>
          <w:rFonts w:hint="eastAsia" w:ascii="楷体_GB2312" w:hAnsi="楷体_GB2312" w:eastAsia="楷体_GB2312" w:cs="楷体_GB2312"/>
          <w:color w:val="auto"/>
          <w:kern w:val="0"/>
          <w:sz w:val="24"/>
          <w:shd w:val="clear" w:color="auto" w:fill="FFFFFF"/>
          <w:lang w:eastAsia="zh-CN"/>
        </w:rPr>
        <w:t>，</w:t>
      </w:r>
      <w:r>
        <w:rPr>
          <w:rFonts w:hint="eastAsia" w:ascii="楷体_GB2312" w:hAnsi="楷体_GB2312" w:eastAsia="楷体_GB2312" w:cs="楷体_GB2312"/>
          <w:color w:val="auto"/>
          <w:kern w:val="0"/>
          <w:sz w:val="24"/>
          <w:shd w:val="clear" w:color="auto" w:fill="FFFFFF"/>
        </w:rPr>
        <w:t>有效地保障了毕业实习质量。</w:t>
      </w:r>
    </w:p>
    <w:p>
      <w:pPr>
        <w:pStyle w:val="4"/>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就业方向</w:t>
      </w:r>
    </w:p>
    <w:p>
      <w:pPr>
        <w:pStyle w:val="4"/>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在各级各类医院</w:t>
      </w:r>
      <w:r>
        <w:rPr>
          <w:rFonts w:ascii="楷体_GB2312" w:hAnsi="楷体_GB2312" w:eastAsia="楷体_GB2312" w:cs="楷体_GB2312"/>
          <w:color w:val="auto"/>
          <w:shd w:val="clear" w:color="auto" w:fill="FFFFFF"/>
        </w:rPr>
        <w:t>眼科</w:t>
      </w:r>
      <w:r>
        <w:rPr>
          <w:rFonts w:hint="eastAsia" w:ascii="楷体_GB2312" w:hAnsi="楷体_GB2312" w:eastAsia="楷体_GB2312" w:cs="楷体_GB2312"/>
          <w:color w:val="auto"/>
          <w:shd w:val="clear" w:color="auto" w:fill="FFFFFF"/>
          <w:lang w:val="en-US" w:eastAsia="zh-CN"/>
        </w:rPr>
        <w:t>或眼镜店等企业从事视力</w:t>
      </w:r>
      <w:r>
        <w:rPr>
          <w:rFonts w:ascii="楷体_GB2312" w:hAnsi="楷体_GB2312" w:eastAsia="楷体_GB2312" w:cs="楷体_GB2312"/>
          <w:color w:val="auto"/>
          <w:shd w:val="clear" w:color="auto" w:fill="FFFFFF"/>
        </w:rPr>
        <w:t>检查工作</w:t>
      </w:r>
      <w:r>
        <w:rPr>
          <w:rFonts w:hint="eastAsia" w:ascii="楷体_GB2312" w:hAnsi="楷体_GB2312" w:eastAsia="楷体_GB2312" w:cs="楷体_GB2312"/>
          <w:color w:val="auto"/>
          <w:shd w:val="clear" w:color="auto" w:fill="FFFFFF"/>
          <w:lang w:eastAsia="zh-CN"/>
        </w:rPr>
        <w:t>、</w:t>
      </w:r>
      <w:r>
        <w:rPr>
          <w:rFonts w:ascii="楷体_GB2312" w:hAnsi="楷体_GB2312" w:eastAsia="楷体_GB2312" w:cs="楷体_GB2312"/>
          <w:color w:val="auto"/>
          <w:shd w:val="clear" w:color="auto" w:fill="FFFFFF"/>
        </w:rPr>
        <w:t>验光、配镜或者</w:t>
      </w:r>
      <w:r>
        <w:rPr>
          <w:rFonts w:hint="eastAsia" w:ascii="楷体_GB2312" w:hAnsi="楷体_GB2312" w:eastAsia="楷体_GB2312" w:cs="楷体_GB2312"/>
          <w:color w:val="auto"/>
          <w:shd w:val="clear" w:color="auto" w:fill="FFFFFF"/>
          <w:lang w:val="en-US" w:eastAsia="zh-CN"/>
        </w:rPr>
        <w:t>低视力</w:t>
      </w:r>
      <w:r>
        <w:rPr>
          <w:rFonts w:ascii="楷体_GB2312" w:hAnsi="楷体_GB2312" w:eastAsia="楷体_GB2312" w:cs="楷体_GB2312"/>
          <w:color w:val="auto"/>
          <w:shd w:val="clear" w:color="auto" w:fill="FFFFFF"/>
        </w:rPr>
        <w:t>视觉</w:t>
      </w:r>
      <w:r>
        <w:rPr>
          <w:rFonts w:hint="eastAsia" w:ascii="楷体_GB2312" w:hAnsi="楷体_GB2312" w:eastAsia="楷体_GB2312" w:cs="楷体_GB2312"/>
          <w:color w:val="auto"/>
          <w:shd w:val="clear" w:color="auto" w:fill="FFFFFF"/>
          <w:lang w:val="en-US" w:eastAsia="zh-CN"/>
        </w:rPr>
        <w:t>康复</w:t>
      </w:r>
      <w:r>
        <w:rPr>
          <w:rFonts w:ascii="楷体_GB2312" w:hAnsi="楷体_GB2312" w:eastAsia="楷体_GB2312" w:cs="楷体_GB2312"/>
          <w:color w:val="auto"/>
          <w:shd w:val="clear" w:color="auto" w:fill="FFFFFF"/>
        </w:rPr>
        <w:t>训练</w:t>
      </w:r>
      <w:r>
        <w:rPr>
          <w:rFonts w:hint="eastAsia" w:ascii="楷体_GB2312" w:hAnsi="楷体_GB2312" w:eastAsia="楷体_GB2312" w:cs="楷体_GB2312"/>
          <w:color w:val="auto"/>
          <w:shd w:val="clear" w:color="auto" w:fill="FFFFFF"/>
          <w:lang w:val="en-US" w:eastAsia="zh-CN"/>
        </w:rPr>
        <w:t>工作，眼镜加工定配等工作，</w:t>
      </w:r>
      <w:r>
        <w:rPr>
          <w:rFonts w:ascii="楷体_GB2312" w:hAnsi="楷体_GB2312" w:eastAsia="楷体_GB2312" w:cs="楷体_GB2312"/>
          <w:color w:val="auto"/>
          <w:shd w:val="clear" w:color="auto" w:fill="FFFFFF"/>
        </w:rPr>
        <w:t>也可以</w:t>
      </w:r>
      <w:r>
        <w:rPr>
          <w:rFonts w:hint="eastAsia" w:ascii="楷体_GB2312" w:hAnsi="楷体_GB2312" w:eastAsia="楷体_GB2312" w:cs="楷体_GB2312"/>
          <w:color w:val="auto"/>
          <w:shd w:val="clear" w:color="auto" w:fill="FFFFFF"/>
          <w:lang w:val="en-US" w:eastAsia="zh-CN"/>
        </w:rPr>
        <w:t>从事</w:t>
      </w:r>
      <w:r>
        <w:rPr>
          <w:rFonts w:ascii="楷体_GB2312" w:hAnsi="楷体_GB2312" w:eastAsia="楷体_GB2312" w:cs="楷体_GB2312"/>
          <w:color w:val="auto"/>
          <w:shd w:val="clear" w:color="auto" w:fill="FFFFFF"/>
        </w:rPr>
        <w:t>眼镜设计、生产管理、市场营销</w:t>
      </w:r>
      <w:r>
        <w:rPr>
          <w:rFonts w:hint="eastAsia" w:ascii="楷体_GB2312" w:hAnsi="楷体_GB2312" w:eastAsia="楷体_GB2312" w:cs="楷体_GB2312"/>
          <w:color w:val="auto"/>
          <w:shd w:val="clear" w:color="auto" w:fill="FFFFFF"/>
          <w:lang w:val="en-US" w:eastAsia="zh-CN"/>
        </w:rPr>
        <w:t>等工作。</w:t>
      </w:r>
    </w:p>
    <w:p>
      <w:pPr>
        <w:widowControl/>
        <w:spacing w:line="360" w:lineRule="auto"/>
        <w:ind w:firstLine="480" w:firstLineChars="200"/>
        <w:jc w:val="left"/>
        <w:rPr>
          <w:rFonts w:ascii="楷体_GB2312" w:hAnsi="楷体_GB2312" w:eastAsia="楷体_GB2312" w:cs="楷体_GB2312"/>
          <w:color w:val="auto"/>
          <w:kern w:val="0"/>
          <w:sz w:val="24"/>
          <w:shd w:val="clear" w:color="auto" w:fill="FFFFFF"/>
        </w:rPr>
      </w:pPr>
      <w:r>
        <w:rPr>
          <w:rFonts w:hint="eastAsia" w:ascii="楷体_GB2312" w:hAnsi="楷体_GB2312" w:eastAsia="楷体_GB2312" w:cs="楷体_GB2312"/>
          <w:color w:val="auto"/>
          <w:kern w:val="0"/>
          <w:sz w:val="24"/>
          <w:shd w:val="clear" w:color="auto" w:fill="FFFFFF"/>
        </w:rPr>
        <w:t>3.学生就业</w:t>
      </w:r>
    </w:p>
    <w:p>
      <w:pPr>
        <w:pStyle w:val="4"/>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学院建有完善的就业保障体系，在积极推动“实习与就业高度融合”的基础上，积极拓展就业新途径、新渠道，确保毕业生专业对口就业率达95%以上。</w:t>
      </w:r>
    </w:p>
    <w:p>
      <w:pPr>
        <w:widowControl/>
        <w:spacing w:line="360" w:lineRule="auto"/>
        <w:jc w:val="left"/>
        <w:rPr>
          <w:rStyle w:val="7"/>
          <w:rFonts w:ascii="楷体" w:hAnsi="楷体" w:eastAsia="楷体" w:cs="楷体"/>
          <w:bCs/>
          <w:color w:val="auto"/>
          <w:spacing w:val="8"/>
          <w:kern w:val="0"/>
          <w:sz w:val="30"/>
          <w:szCs w:val="30"/>
          <w:shd w:val="clear" w:color="auto" w:fill="FFFFFF"/>
          <w:lang w:bidi="ar"/>
        </w:rPr>
      </w:pPr>
      <w:r>
        <w:rPr>
          <w:rStyle w:val="7"/>
          <w:rFonts w:hint="eastAsia" w:ascii="楷体" w:hAnsi="楷体" w:eastAsia="楷体" w:cs="楷体"/>
          <w:bCs/>
          <w:color w:val="auto"/>
          <w:spacing w:val="8"/>
          <w:kern w:val="0"/>
          <w:sz w:val="30"/>
          <w:szCs w:val="30"/>
          <w:shd w:val="clear" w:color="auto" w:fill="FFFFFF"/>
          <w:lang w:bidi="ar"/>
        </w:rPr>
        <w:t>八、丰富多彩的专业校园文化活动</w:t>
      </w:r>
      <w:bookmarkEnd w:id="0"/>
    </w:p>
    <w:p>
      <w:pPr>
        <w:widowControl/>
        <w:spacing w:line="360" w:lineRule="auto"/>
        <w:ind w:firstLine="480" w:firstLineChars="200"/>
        <w:rPr>
          <w:rFonts w:ascii="仿宋" w:hAnsi="仿宋" w:eastAsia="仿宋" w:cs="仿宋"/>
          <w:color w:val="auto"/>
          <w:shd w:val="clear" w:color="auto" w:fill="FFFFFF"/>
        </w:rPr>
      </w:pPr>
      <w:r>
        <w:rPr>
          <w:rFonts w:hint="eastAsia" w:ascii="楷体" w:hAnsi="楷体" w:eastAsia="楷体" w:cs="宋体"/>
          <w:color w:val="auto"/>
          <w:kern w:val="0"/>
          <w:sz w:val="24"/>
        </w:rPr>
        <w:t>专业活动丰富多彩，不定期举办各</w:t>
      </w:r>
      <w:r>
        <w:rPr>
          <w:rFonts w:hint="eastAsia" w:ascii="楷体" w:hAnsi="楷体" w:eastAsia="楷体" w:cs="宋体"/>
          <w:color w:val="auto"/>
          <w:kern w:val="0"/>
          <w:sz w:val="24"/>
          <w:lang w:val="en-US" w:eastAsia="zh-CN"/>
        </w:rPr>
        <w:t>种</w:t>
      </w:r>
      <w:r>
        <w:rPr>
          <w:rFonts w:hint="eastAsia" w:ascii="楷体" w:hAnsi="楷体" w:eastAsia="楷体" w:cs="宋体"/>
          <w:color w:val="auto"/>
          <w:kern w:val="0"/>
          <w:sz w:val="24"/>
        </w:rPr>
        <w:t>专业相关的技能实训比赛、学术讲座和志愿服务</w:t>
      </w:r>
      <w:r>
        <w:rPr>
          <w:rFonts w:hint="eastAsia" w:ascii="楷体" w:hAnsi="楷体" w:eastAsia="楷体" w:cs="宋体"/>
          <w:color w:val="auto"/>
          <w:kern w:val="0"/>
          <w:sz w:val="24"/>
          <w:lang w:val="en-US" w:eastAsia="zh-CN"/>
        </w:rPr>
        <w:t>等</w:t>
      </w:r>
      <w:r>
        <w:rPr>
          <w:rFonts w:hint="eastAsia" w:ascii="楷体" w:hAnsi="楷体" w:eastAsia="楷体" w:cs="宋体"/>
          <w:color w:val="auto"/>
          <w:kern w:val="0"/>
          <w:sz w:val="24"/>
        </w:rPr>
        <w:t>活动，不断提高专业教学质量和学生职业技能水平，提升学生对专业的认同感及认知度，培养学生的思维能力、动手能力和实践创新能力，丰富学生的日常文化生活，为学生的求学生涯增光添彩。</w:t>
      </w:r>
    </w:p>
    <w:p>
      <w:pPr>
        <w:pStyle w:val="4"/>
        <w:widowControl/>
        <w:spacing w:beforeAutospacing="0" w:afterAutospacing="0" w:line="360" w:lineRule="auto"/>
        <w:jc w:val="both"/>
        <w:rPr>
          <w:rFonts w:hint="eastAsia" w:ascii="楷体_GB2312" w:hAnsi="楷体_GB2312" w:eastAsia="楷体_GB2312" w:cs="楷体_GB2312"/>
          <w:color w:val="auto"/>
          <w:kern w:val="0"/>
          <w:sz w:val="15"/>
          <w:szCs w:val="15"/>
          <w:shd w:val="clear" w:color="auto" w:fill="FFFFFF"/>
          <w:lang w:eastAsia="zh-CN"/>
        </w:rPr>
      </w:pPr>
      <w:r>
        <w:rPr>
          <w:rFonts w:hint="eastAsia" w:ascii="宋体" w:hAnsi="宋体" w:cs="宋体"/>
          <w:color w:val="auto"/>
        </w:rPr>
        <w:drawing>
          <wp:inline distT="0" distB="0" distL="114300" distR="114300">
            <wp:extent cx="2599055" cy="1950720"/>
            <wp:effectExtent l="0" t="0" r="10795" b="11430"/>
            <wp:docPr id="15" name="图片 15" descr="1663f5b56439caae8fd912867455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3f5b56439caae8fd91286745510f"/>
                    <pic:cNvPicPr>
                      <a:picLocks noChangeAspect="1"/>
                    </pic:cNvPicPr>
                  </pic:nvPicPr>
                  <pic:blipFill>
                    <a:blip r:embed="rId16"/>
                    <a:stretch>
                      <a:fillRect/>
                    </a:stretch>
                  </pic:blipFill>
                  <pic:spPr>
                    <a:xfrm>
                      <a:off x="0" y="0"/>
                      <a:ext cx="2599055" cy="1950720"/>
                    </a:xfrm>
                    <a:prstGeom prst="rect">
                      <a:avLst/>
                    </a:prstGeom>
                  </pic:spPr>
                </pic:pic>
              </a:graphicData>
            </a:graphic>
          </wp:inline>
        </w:drawing>
      </w:r>
      <w:r>
        <w:rPr>
          <w:rFonts w:hint="eastAsia" w:ascii="仿宋" w:hAnsi="仿宋" w:eastAsia="宋体" w:cs="仿宋"/>
          <w:color w:val="auto"/>
          <w:sz w:val="28"/>
          <w:szCs w:val="28"/>
          <w:shd w:val="clear" w:color="auto" w:fill="FFFFFF"/>
          <w:lang w:eastAsia="zh-CN"/>
        </w:rPr>
        <w:drawing>
          <wp:inline distT="0" distB="0" distL="114300" distR="114300">
            <wp:extent cx="2598420" cy="1948180"/>
            <wp:effectExtent l="0" t="0" r="11430" b="13970"/>
            <wp:docPr id="16" name="图片 16" descr="cf7988f3b0ed0bc11293eb5e6595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f7988f3b0ed0bc11293eb5e65954fd"/>
                    <pic:cNvPicPr>
                      <a:picLocks noChangeAspect="1"/>
                    </pic:cNvPicPr>
                  </pic:nvPicPr>
                  <pic:blipFill>
                    <a:blip r:embed="rId17"/>
                    <a:stretch>
                      <a:fillRect/>
                    </a:stretch>
                  </pic:blipFill>
                  <pic:spPr>
                    <a:xfrm>
                      <a:off x="0" y="0"/>
                      <a:ext cx="2598420" cy="1948180"/>
                    </a:xfrm>
                    <a:prstGeom prst="rect">
                      <a:avLst/>
                    </a:prstGeom>
                  </pic:spPr>
                </pic:pic>
              </a:graphicData>
            </a:graphic>
          </wp:inline>
        </w:drawing>
      </w:r>
    </w:p>
    <w:p>
      <w:pPr>
        <w:widowControl/>
        <w:spacing w:line="360" w:lineRule="auto"/>
        <w:jc w:val="left"/>
        <w:rPr>
          <w:rStyle w:val="7"/>
          <w:rFonts w:ascii="楷体_GB2312" w:hAnsi="楷体_GB2312" w:eastAsia="楷体_GB2312" w:cs="楷体_GB2312"/>
          <w:bCs/>
          <w:color w:val="auto"/>
          <w:spacing w:val="8"/>
          <w:kern w:val="0"/>
          <w:sz w:val="30"/>
          <w:szCs w:val="30"/>
          <w:shd w:val="clear" w:color="auto" w:fill="FFFFFF"/>
          <w:lang w:bidi="ar"/>
        </w:rPr>
      </w:pPr>
      <w:r>
        <w:rPr>
          <w:rStyle w:val="7"/>
          <w:rFonts w:hint="eastAsia" w:ascii="楷体_GB2312" w:hAnsi="楷体_GB2312" w:eastAsia="楷体_GB2312" w:cs="楷体_GB2312"/>
          <w:bCs/>
          <w:color w:val="auto"/>
          <w:spacing w:val="8"/>
          <w:kern w:val="0"/>
          <w:sz w:val="30"/>
          <w:szCs w:val="30"/>
          <w:shd w:val="clear" w:color="auto" w:fill="FFFFFF"/>
          <w:lang w:bidi="ar"/>
        </w:rPr>
        <w:t>九、招生政策</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ascii="楷体_GB2312" w:hAnsi="楷体_GB2312" w:eastAsia="楷体_GB2312" w:cs="楷体_GB2312"/>
          <w:color w:val="auto"/>
          <w:shd w:val="clear" w:color="auto" w:fill="FFFFFF"/>
        </w:rPr>
      </w:pPr>
      <w:bookmarkStart w:id="3" w:name="_Toc35345010"/>
      <w:r>
        <w:rPr>
          <w:rFonts w:hint="eastAsia" w:ascii="楷体_GB2312" w:hAnsi="楷体_GB2312" w:eastAsia="楷体_GB2312" w:cs="楷体_GB2312"/>
          <w:color w:val="auto"/>
          <w:shd w:val="clear" w:color="auto" w:fill="FFFFFF"/>
        </w:rPr>
        <w:t>本专业招收全日制高中毕业生和中职毕业生。</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夏季高考考生需参加山东省统一组织的文化课考试。考生按照山东省教育招生考试院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春季高考考生需参加</w:t>
      </w:r>
      <w:bookmarkStart w:id="4" w:name="_Hlk100866660"/>
      <w:r>
        <w:rPr>
          <w:rFonts w:hint="eastAsia" w:ascii="楷体_GB2312" w:hAnsi="楷体_GB2312" w:eastAsia="楷体_GB2312" w:cs="楷体_GB2312"/>
          <w:color w:val="auto"/>
          <w:shd w:val="clear" w:color="auto" w:fill="FFFFFF"/>
        </w:rPr>
        <w:t>山东省统一组织的</w:t>
      </w:r>
      <w:bookmarkEnd w:id="4"/>
      <w:r>
        <w:rPr>
          <w:rFonts w:hint="eastAsia" w:ascii="楷体_GB2312" w:hAnsi="楷体_GB2312" w:eastAsia="楷体_GB2312" w:cs="楷体_GB2312"/>
          <w:color w:val="auto"/>
          <w:shd w:val="clear" w:color="auto" w:fill="FFFFFF"/>
        </w:rPr>
        <w:t>文化考试和技能测试。考生按照山东省教育招生考试院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p>
    <w:p>
      <w:pPr>
        <w:widowControl/>
        <w:spacing w:line="360" w:lineRule="auto"/>
        <w:jc w:val="left"/>
        <w:rPr>
          <w:rStyle w:val="7"/>
          <w:rFonts w:ascii="楷体_GB2312" w:hAnsi="楷体_GB2312" w:eastAsia="楷体_GB2312" w:cs="楷体_GB2312"/>
          <w:bCs/>
          <w:color w:val="auto"/>
          <w:spacing w:val="8"/>
          <w:kern w:val="0"/>
          <w:sz w:val="30"/>
          <w:szCs w:val="30"/>
          <w:shd w:val="clear" w:color="auto" w:fill="FFFFFF"/>
          <w:lang w:bidi="ar"/>
        </w:rPr>
      </w:pPr>
      <w:r>
        <w:rPr>
          <w:rStyle w:val="7"/>
          <w:rFonts w:hint="eastAsia" w:ascii="楷体_GB2312" w:hAnsi="楷体_GB2312" w:eastAsia="楷体_GB2312" w:cs="楷体_GB2312"/>
          <w:bCs/>
          <w:color w:val="auto"/>
          <w:spacing w:val="8"/>
          <w:kern w:val="0"/>
          <w:sz w:val="30"/>
          <w:szCs w:val="30"/>
          <w:shd w:val="clear" w:color="auto" w:fill="FFFFFF"/>
          <w:lang w:bidi="ar"/>
        </w:rPr>
        <w:t>十、</w:t>
      </w:r>
      <w:r>
        <w:rPr>
          <w:rStyle w:val="7"/>
          <w:rFonts w:ascii="楷体_GB2312" w:hAnsi="楷体_GB2312" w:eastAsia="楷体_GB2312" w:cs="楷体_GB2312"/>
          <w:bCs/>
          <w:color w:val="auto"/>
          <w:spacing w:val="8"/>
          <w:kern w:val="0"/>
          <w:sz w:val="30"/>
          <w:szCs w:val="30"/>
          <w:shd w:val="clear" w:color="auto" w:fill="FFFFFF"/>
          <w:lang w:bidi="ar"/>
        </w:rPr>
        <w:t>贫困生资助</w:t>
      </w:r>
      <w:bookmarkEnd w:id="3"/>
    </w:p>
    <w:p>
      <w:pPr>
        <w:pStyle w:val="4"/>
        <w:widowControl/>
        <w:spacing w:beforeAutospacing="0" w:afterAutospacing="0" w:line="360" w:lineRule="auto"/>
        <w:ind w:firstLine="480" w:firstLineChars="200"/>
        <w:rPr>
          <w:rFonts w:ascii="楷体_GB2312" w:hAnsi="楷体_GB2312" w:eastAsia="楷体_GB2312" w:cs="楷体_GB2312"/>
          <w:color w:val="auto"/>
          <w:shd w:val="clear" w:color="auto" w:fill="FFFFFF"/>
        </w:rPr>
      </w:pP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 xml:space="preserve">相关规定执行。      </w:t>
      </w:r>
    </w:p>
    <w:p>
      <w:pPr>
        <w:widowControl/>
        <w:spacing w:line="360" w:lineRule="auto"/>
        <w:jc w:val="left"/>
        <w:rPr>
          <w:rStyle w:val="7"/>
          <w:rFonts w:ascii="楷体_GB2312" w:hAnsi="楷体_GB2312" w:eastAsia="楷体_GB2312" w:cs="楷体_GB2312"/>
          <w:bCs/>
          <w:color w:val="auto"/>
          <w:spacing w:val="8"/>
          <w:kern w:val="0"/>
          <w:sz w:val="30"/>
          <w:szCs w:val="30"/>
          <w:shd w:val="clear" w:color="auto" w:fill="FFFFFF"/>
          <w:lang w:bidi="ar"/>
        </w:rPr>
      </w:pPr>
      <w:bookmarkStart w:id="5" w:name="_Toc35345011"/>
      <w:r>
        <w:rPr>
          <w:rStyle w:val="7"/>
          <w:rFonts w:hint="eastAsia" w:ascii="楷体_GB2312" w:hAnsi="楷体_GB2312" w:eastAsia="楷体_GB2312" w:cs="楷体_GB2312"/>
          <w:bCs/>
          <w:color w:val="auto"/>
          <w:spacing w:val="8"/>
          <w:kern w:val="0"/>
          <w:sz w:val="30"/>
          <w:szCs w:val="30"/>
          <w:shd w:val="clear" w:color="auto" w:fill="FFFFFF"/>
          <w:lang w:bidi="ar"/>
        </w:rPr>
        <w:t>十一、收费标准</w:t>
      </w:r>
      <w:bookmarkEnd w:id="5"/>
    </w:p>
    <w:p>
      <w:pPr>
        <w:pStyle w:val="4"/>
        <w:widowControl/>
        <w:spacing w:beforeAutospacing="0" w:afterAutospacing="0" w:line="360" w:lineRule="auto"/>
        <w:ind w:firstLine="480" w:firstLineChars="200"/>
        <w:jc w:val="both"/>
        <w:rPr>
          <w:rFonts w:ascii="楷体_GB2312" w:hAnsi="楷体_GB2312" w:eastAsia="楷体_GB2312" w:cs="楷体_GB2312"/>
          <w:color w:val="auto"/>
          <w:kern w:val="0"/>
          <w:sz w:val="24"/>
          <w:shd w:val="clear" w:color="auto" w:fill="FFFFFF"/>
        </w:rPr>
      </w:pPr>
      <w:r>
        <w:rPr>
          <w:rFonts w:hint="default" w:ascii="楷体_GB2312" w:hAnsi="楷体_GB2312" w:eastAsia="楷体_GB2312" w:cs="楷体_GB2312"/>
          <w:color w:val="0000FF"/>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pPr>
        <w:widowControl/>
        <w:spacing w:line="360" w:lineRule="auto"/>
        <w:jc w:val="left"/>
        <w:rPr>
          <w:rStyle w:val="7"/>
          <w:rFonts w:ascii="楷体_GB2312" w:hAnsi="楷体_GB2312" w:eastAsia="楷体_GB2312" w:cs="楷体_GB2312"/>
          <w:bCs/>
          <w:color w:val="auto"/>
          <w:spacing w:val="8"/>
          <w:kern w:val="0"/>
          <w:sz w:val="30"/>
          <w:szCs w:val="30"/>
          <w:shd w:val="clear" w:color="auto" w:fill="FFFFFF"/>
          <w:lang w:bidi="ar"/>
        </w:rPr>
      </w:pPr>
      <w:r>
        <w:rPr>
          <w:rStyle w:val="7"/>
          <w:rFonts w:hint="eastAsia" w:ascii="楷体_GB2312" w:hAnsi="楷体_GB2312" w:eastAsia="楷体_GB2312" w:cs="楷体_GB2312"/>
          <w:bCs/>
          <w:color w:val="auto"/>
          <w:spacing w:val="8"/>
          <w:kern w:val="0"/>
          <w:sz w:val="30"/>
          <w:szCs w:val="30"/>
          <w:shd w:val="clear" w:color="auto" w:fill="FFFFFF"/>
          <w:lang w:bidi="ar"/>
        </w:rPr>
        <w:t>十、联系方式</w:t>
      </w:r>
    </w:p>
    <w:p>
      <w:pPr>
        <w:widowControl/>
        <w:spacing w:line="360" w:lineRule="auto"/>
        <w:ind w:firstLine="480" w:firstLineChars="200"/>
        <w:jc w:val="left"/>
        <w:rPr>
          <w:rFonts w:hint="default" w:ascii="楷体_GB2312" w:hAnsi="楷体_GB2312" w:eastAsia="楷体_GB2312" w:cs="楷体_GB2312"/>
          <w:color w:val="auto"/>
          <w:kern w:val="0"/>
          <w:sz w:val="24"/>
          <w:shd w:val="clear" w:color="auto" w:fill="FFFFFF"/>
          <w:lang w:val="en-US" w:eastAsia="zh-CN"/>
        </w:rPr>
      </w:pPr>
      <w:r>
        <w:rPr>
          <w:rFonts w:hint="eastAsia" w:ascii="楷体_GB2312" w:hAnsi="楷体_GB2312" w:eastAsia="楷体_GB2312" w:cs="楷体_GB2312"/>
          <w:color w:val="auto"/>
          <w:kern w:val="0"/>
          <w:sz w:val="24"/>
          <w:shd w:val="clear" w:color="auto" w:fill="FFFFFF"/>
          <w:lang w:eastAsia="zh-CN"/>
        </w:rPr>
        <w:t>教研室主任：张老师</w:t>
      </w:r>
      <w:r>
        <w:rPr>
          <w:rFonts w:ascii="楷体_GB2312" w:hAnsi="楷体_GB2312" w:eastAsia="楷体_GB2312" w:cs="楷体_GB2312"/>
          <w:color w:val="auto"/>
          <w:kern w:val="0"/>
          <w:sz w:val="24"/>
          <w:shd w:val="clear" w:color="auto" w:fill="FFFFFF"/>
          <w:lang w:eastAsia="zh-Hans"/>
        </w:rPr>
        <w:t xml:space="preserve">    </w:t>
      </w:r>
      <w:r>
        <w:rPr>
          <w:rFonts w:hint="eastAsia" w:ascii="楷体_GB2312" w:hAnsi="楷体_GB2312" w:eastAsia="楷体_GB2312" w:cs="楷体_GB2312"/>
          <w:color w:val="auto"/>
          <w:kern w:val="0"/>
          <w:sz w:val="24"/>
          <w:shd w:val="clear" w:color="auto" w:fill="FFFFFF"/>
          <w:lang w:val="en-US" w:eastAsia="zh-CN"/>
        </w:rPr>
        <w:t xml:space="preserve">  </w:t>
      </w:r>
      <w:r>
        <w:rPr>
          <w:rFonts w:hint="eastAsia" w:ascii="楷体_GB2312" w:hAnsi="楷体_GB2312" w:eastAsia="楷体_GB2312" w:cs="楷体_GB2312"/>
          <w:color w:val="auto"/>
          <w:kern w:val="0"/>
          <w:sz w:val="24"/>
          <w:shd w:val="clear" w:color="auto" w:fill="FFFFFF"/>
          <w:lang w:eastAsia="zh-Hans"/>
        </w:rPr>
        <w:t>联系电话</w:t>
      </w:r>
      <w:r>
        <w:rPr>
          <w:rFonts w:hint="eastAsia" w:ascii="楷体_GB2312" w:hAnsi="楷体_GB2312" w:eastAsia="楷体_GB2312" w:cs="楷体_GB2312"/>
          <w:color w:val="auto"/>
          <w:kern w:val="0"/>
          <w:sz w:val="24"/>
          <w:shd w:val="clear" w:color="auto" w:fill="FFFFFF"/>
          <w:lang w:eastAsia="zh-CN"/>
        </w:rPr>
        <w:t>：</w:t>
      </w:r>
      <w:r>
        <w:rPr>
          <w:rFonts w:hint="eastAsia" w:ascii="楷体_GB2312" w:hAnsi="楷体_GB2312" w:eastAsia="楷体_GB2312" w:cs="楷体_GB2312"/>
          <w:color w:val="auto"/>
          <w:kern w:val="0"/>
          <w:sz w:val="24"/>
          <w:shd w:val="clear" w:color="auto" w:fill="FFFFFF"/>
        </w:rPr>
        <w:t>1</w:t>
      </w:r>
      <w:r>
        <w:rPr>
          <w:rFonts w:hint="eastAsia" w:ascii="楷体_GB2312" w:hAnsi="楷体_GB2312" w:eastAsia="楷体_GB2312" w:cs="楷体_GB2312"/>
          <w:color w:val="auto"/>
          <w:kern w:val="0"/>
          <w:sz w:val="24"/>
          <w:shd w:val="clear" w:color="auto" w:fill="FFFFFF"/>
          <w:lang w:val="en-US" w:eastAsia="zh-CN"/>
        </w:rPr>
        <w:t>8660107046</w:t>
      </w:r>
    </w:p>
    <w:p>
      <w:pPr>
        <w:pStyle w:val="4"/>
        <w:widowControl/>
        <w:spacing w:beforeAutospacing="0" w:afterAutospacing="0" w:line="360" w:lineRule="auto"/>
        <w:ind w:firstLine="480" w:firstLineChars="200"/>
        <w:jc w:val="both"/>
        <w:rPr>
          <w:rStyle w:val="7"/>
          <w:rFonts w:ascii="楷体_GB2312" w:hAnsi="楷体_GB2312" w:eastAsia="楷体_GB2312" w:cs="楷体_GB2312"/>
          <w:bCs/>
          <w:color w:val="auto"/>
          <w:spacing w:val="8"/>
          <w:kern w:val="0"/>
          <w:sz w:val="30"/>
          <w:szCs w:val="30"/>
          <w:shd w:val="clear" w:color="auto" w:fill="FFFFFF"/>
          <w:lang w:bidi="ar"/>
        </w:rPr>
      </w:pPr>
      <w:r>
        <w:rPr>
          <w:rFonts w:hint="eastAsia" w:ascii="楷体_GB2312" w:hAnsi="楷体_GB2312" w:eastAsia="楷体_GB2312" w:cs="楷体_GB2312"/>
          <w:color w:val="auto"/>
          <w:shd w:val="clear" w:color="auto" w:fill="FFFFFF"/>
          <w:lang w:val="en-US" w:eastAsia="zh-CN"/>
        </w:rPr>
        <w:t>招生咨询电话：（0531）58164412、59532205、59822206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Unicode MS">
    <w:altName w:val="DejaVu Sans"/>
    <w:panose1 w:val="020B0604020202020204"/>
    <w:charset w:val="86"/>
    <w:family w:val="swiss"/>
    <w:pitch w:val="default"/>
    <w:sig w:usb0="00000000" w:usb1="00000000" w:usb2="0000003F" w:usb3="00000000" w:csb0="603F01FF" w:csb1="FFFF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495AB3"/>
    <w:multiLevelType w:val="singleLevel"/>
    <w:tmpl w:val="15495AB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ZDk5MGJlZTAyOGY4OGQ5YTViMzBmNWViMWZkMTAifQ=="/>
  </w:docVars>
  <w:rsids>
    <w:rsidRoot w:val="421046AA"/>
    <w:rsid w:val="000133BA"/>
    <w:rsid w:val="003F7CA2"/>
    <w:rsid w:val="00460F50"/>
    <w:rsid w:val="00486ED9"/>
    <w:rsid w:val="006F6D9E"/>
    <w:rsid w:val="0080629B"/>
    <w:rsid w:val="00834F8F"/>
    <w:rsid w:val="00AF6BB0"/>
    <w:rsid w:val="00B26495"/>
    <w:rsid w:val="02EE6FC0"/>
    <w:rsid w:val="03C827F9"/>
    <w:rsid w:val="03FA54FD"/>
    <w:rsid w:val="06D870D9"/>
    <w:rsid w:val="07A34FF1"/>
    <w:rsid w:val="099049E5"/>
    <w:rsid w:val="0DDF278B"/>
    <w:rsid w:val="0ECF18B9"/>
    <w:rsid w:val="12A54313"/>
    <w:rsid w:val="14172FEE"/>
    <w:rsid w:val="15535E8C"/>
    <w:rsid w:val="16BA5EB3"/>
    <w:rsid w:val="1C195DD9"/>
    <w:rsid w:val="1CA27B15"/>
    <w:rsid w:val="23C36D29"/>
    <w:rsid w:val="23D70B07"/>
    <w:rsid w:val="312E32A7"/>
    <w:rsid w:val="39185196"/>
    <w:rsid w:val="3BE15B0C"/>
    <w:rsid w:val="3ECE2F13"/>
    <w:rsid w:val="3ECF20B9"/>
    <w:rsid w:val="3FAF79D9"/>
    <w:rsid w:val="41390199"/>
    <w:rsid w:val="41503561"/>
    <w:rsid w:val="421046AA"/>
    <w:rsid w:val="435A6221"/>
    <w:rsid w:val="43C41F20"/>
    <w:rsid w:val="45014F62"/>
    <w:rsid w:val="4900749F"/>
    <w:rsid w:val="495E66C3"/>
    <w:rsid w:val="49D738F9"/>
    <w:rsid w:val="4C3B6EA2"/>
    <w:rsid w:val="4DE22BAA"/>
    <w:rsid w:val="4EEA6415"/>
    <w:rsid w:val="4FF26C3F"/>
    <w:rsid w:val="51AD2004"/>
    <w:rsid w:val="51F37EF0"/>
    <w:rsid w:val="52FF66CD"/>
    <w:rsid w:val="54D758A7"/>
    <w:rsid w:val="57FE2441"/>
    <w:rsid w:val="5A307F33"/>
    <w:rsid w:val="5B8872ED"/>
    <w:rsid w:val="5BE84B24"/>
    <w:rsid w:val="5E2E29DB"/>
    <w:rsid w:val="5EA4274E"/>
    <w:rsid w:val="60E90D4D"/>
    <w:rsid w:val="614918DA"/>
    <w:rsid w:val="61990CD6"/>
    <w:rsid w:val="640410EC"/>
    <w:rsid w:val="69FF4EAB"/>
    <w:rsid w:val="6F9E44D7"/>
    <w:rsid w:val="742B457C"/>
    <w:rsid w:val="764E5293"/>
    <w:rsid w:val="770F17C8"/>
    <w:rsid w:val="78CA6CD8"/>
    <w:rsid w:val="797374E1"/>
    <w:rsid w:val="7B0436F5"/>
    <w:rsid w:val="7D904168"/>
    <w:rsid w:val="A8F902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unhideWhenUsed/>
    <w:qFormat/>
    <w:uiPriority w:val="0"/>
    <w:pPr>
      <w:spacing w:beforeAutospacing="1" w:afterAutospacing="1"/>
      <w:jc w:val="left"/>
      <w:outlineLvl w:val="1"/>
    </w:pPr>
    <w:rPr>
      <w:rFonts w:hint="eastAsia" w:ascii="宋体" w:hAnsi="宋体"/>
      <w:b/>
      <w:kern w:val="0"/>
      <w:sz w:val="36"/>
      <w:szCs w:val="36"/>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unhideWhenUsed/>
    <w:qFormat/>
    <w:uiPriority w:val="1"/>
    <w:pPr>
      <w:ind w:left="112"/>
    </w:pPr>
    <w:rPr>
      <w:rFonts w:hint="eastAsia" w:ascii="Arial Unicode MS" w:hAnsi="Arial Unicode MS" w:eastAsia="Arial Unicode MS"/>
      <w:sz w:val="20"/>
    </w:rPr>
  </w:style>
  <w:style w:type="paragraph" w:styleId="4">
    <w:name w:val="Normal (Web)"/>
    <w:basedOn w:val="1"/>
    <w:autoRedefine/>
    <w:qFormat/>
    <w:uiPriority w:val="0"/>
    <w:pPr>
      <w:spacing w:beforeAutospacing="1" w:afterAutospacing="1"/>
      <w:jc w:val="left"/>
    </w:pPr>
    <w:rPr>
      <w:kern w:val="0"/>
      <w:sz w:val="24"/>
    </w:rPr>
  </w:style>
  <w:style w:type="character" w:styleId="7">
    <w:name w:val="Strong"/>
    <w:basedOn w:val="6"/>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3211</Words>
  <Characters>3292</Characters>
  <Lines>15</Lines>
  <Paragraphs>4</Paragraphs>
  <TotalTime>11</TotalTime>
  <ScaleCrop>false</ScaleCrop>
  <LinksUpToDate>false</LinksUpToDate>
  <CharactersWithSpaces>3325</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2023-03-23T11:15:00Z</dcterms:created>
  <dc:creator>一凡</dc:creator>
  <cp:lastModifiedBy>杨海霞</cp:lastModifiedBy>
  <dcterms:modified xsi:type="dcterms:W3CDTF">2025-04-09T13:20:13Z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93A6B73D25934F479A140B4D98BD5064_13</vt:lpwstr>
  </property>
</Properties>
</file>