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947BC9">
      <w:pPr>
        <w:keepNext w:val="0"/>
        <w:keepLines w:val="0"/>
        <w:pageBreakBefore w:val="0"/>
        <w:widowControl/>
        <w:suppressLineNumbers w:val="0"/>
        <w:kinsoku/>
        <w:wordWrap/>
        <w:overflowPunct/>
        <w:topLinePunct w:val="0"/>
        <w:autoSpaceDE/>
        <w:autoSpaceDN/>
        <w:bidi w:val="0"/>
        <w:adjustRightInd/>
        <w:snapToGrid/>
        <w:spacing w:after="313" w:afterLines="100" w:line="360" w:lineRule="auto"/>
        <w:jc w:val="center"/>
        <w:textAlignment w:val="auto"/>
        <w:rPr>
          <w:rFonts w:hint="eastAsia" w:ascii="微软雅黑" w:hAnsi="微软雅黑" w:eastAsia="微软雅黑" w:cs="微软雅黑"/>
          <w:b w:val="0"/>
          <w:bCs w:val="0"/>
          <w:color w:val="auto"/>
          <w:sz w:val="32"/>
          <w:szCs w:val="32"/>
          <w:lang w:val="en-US" w:eastAsia="zh-CN"/>
        </w:rPr>
      </w:pPr>
      <w:r>
        <w:rPr>
          <w:rFonts w:hint="eastAsia" w:ascii="微软雅黑" w:hAnsi="微软雅黑" w:eastAsia="微软雅黑" w:cs="微软雅黑"/>
          <w:b w:val="0"/>
          <w:bCs w:val="0"/>
          <w:color w:val="auto"/>
          <w:sz w:val="32"/>
          <w:szCs w:val="32"/>
        </w:rPr>
        <w:t>宠物医疗技术专业</w:t>
      </w:r>
      <w:r>
        <w:rPr>
          <w:rFonts w:hint="eastAsia" w:ascii="微软雅黑" w:hAnsi="微软雅黑" w:eastAsia="微软雅黑" w:cs="微软雅黑"/>
          <w:b w:val="0"/>
          <w:bCs w:val="0"/>
          <w:color w:val="auto"/>
          <w:sz w:val="32"/>
          <w:szCs w:val="32"/>
          <w:lang w:val="en-US" w:eastAsia="zh-CN"/>
        </w:rPr>
        <w:t>深度解读</w:t>
      </w:r>
    </w:p>
    <w:p w14:paraId="0BD2F0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楷体_GB2312" w:hAnsi="楷体_GB2312" w:eastAsia="楷体_GB2312" w:cs="楷体_GB2312"/>
          <w:b/>
          <w:bCs w:val="0"/>
          <w:color w:val="auto"/>
          <w:sz w:val="24"/>
          <w:szCs w:val="24"/>
        </w:rPr>
      </w:pPr>
      <w:r>
        <w:rPr>
          <w:rStyle w:val="6"/>
          <w:rFonts w:hint="eastAsia" w:ascii="楷体_GB2312" w:hAnsi="楷体_GB2312" w:eastAsia="楷体_GB2312" w:cs="楷体_GB2312"/>
          <w:b/>
          <w:bCs w:val="0"/>
          <w:color w:val="auto"/>
          <w:sz w:val="24"/>
          <w:szCs w:val="24"/>
        </w:rPr>
        <w:t>一、培养目标</w:t>
      </w:r>
    </w:p>
    <w:p w14:paraId="24C195A3">
      <w:pPr>
        <w:keepNext w:val="0"/>
        <w:keepLines w:val="0"/>
        <w:widowControl/>
        <w:suppressLineNumbers w:val="0"/>
        <w:spacing w:line="360" w:lineRule="auto"/>
        <w:ind w:firstLine="480" w:firstLineChars="200"/>
        <w:jc w:val="left"/>
        <w:rPr>
          <w:rFonts w:hint="eastAsia" w:ascii="楷体_GB2312" w:hAnsi="楷体_GB2312" w:eastAsia="楷体_GB2312" w:cs="楷体_GB2312"/>
          <w:color w:val="auto"/>
          <w:sz w:val="24"/>
          <w:szCs w:val="24"/>
        </w:rPr>
      </w:pPr>
      <w:r>
        <w:rPr>
          <w:rFonts w:hint="eastAsia" w:ascii="楷体_GB2312" w:hAnsi="楷体_GB2312" w:eastAsia="楷体_GB2312" w:cs="楷体_GB2312"/>
          <w:sz w:val="24"/>
          <w:szCs w:val="24"/>
          <w:lang w:val="en-US" w:eastAsia="zh-CN"/>
        </w:rPr>
        <w:t>宠物医学技术专业</w:t>
      </w:r>
      <w:r>
        <w:rPr>
          <w:rFonts w:hint="eastAsia" w:ascii="楷体_GB2312" w:hAnsi="楷体_GB2312" w:eastAsia="楷体_GB2312" w:cs="楷体_GB2312"/>
          <w:sz w:val="24"/>
          <w:szCs w:val="24"/>
        </w:rPr>
        <w:t>培养能够践行社会主义核心价值观，传承技能文明，德智体美劳全面发展，具有一定的科学文化水平，良好的人文素养、科学素养、数字素养、职业道德、创新意识，爱岗敬业的职业精神和精益求精的工匠精神，较强的就业创业能力和可持续发展的能力，掌握本专业知识和技术技能，具备职业综合素质和行动能力，面向宠物服务行业的宠物健康护理员、宠物医师等职业，能够从事宠物健康护理、宠物普通病诊断、宠物普通病治疗、宠物疫病防控和宠物诊疗机构经营工作的高技能人才。</w:t>
      </w:r>
    </w:p>
    <w:p w14:paraId="08023A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楷体_GB2312" w:hAnsi="楷体_GB2312" w:eastAsia="楷体_GB2312" w:cs="楷体_GB2312"/>
          <w:color w:val="auto"/>
          <w:sz w:val="24"/>
          <w:szCs w:val="24"/>
        </w:rPr>
      </w:pPr>
      <w:r>
        <w:rPr>
          <w:rStyle w:val="6"/>
          <w:rFonts w:hint="eastAsia" w:ascii="楷体_GB2312" w:hAnsi="楷体_GB2312" w:eastAsia="楷体_GB2312" w:cs="楷体_GB2312"/>
          <w:color w:val="auto"/>
          <w:sz w:val="24"/>
          <w:szCs w:val="24"/>
        </w:rPr>
        <w:t>二、师资力量</w:t>
      </w:r>
    </w:p>
    <w:p w14:paraId="14795BBB">
      <w:pPr>
        <w:keepNext w:val="0"/>
        <w:keepLines w:val="0"/>
        <w:widowControl/>
        <w:suppressLineNumbers w:val="0"/>
        <w:spacing w:line="360" w:lineRule="auto"/>
        <w:jc w:val="left"/>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 </w:t>
      </w:r>
      <w:r>
        <w:rPr>
          <w:rFonts w:hint="eastAsia" w:ascii="楷体_GB2312" w:hAnsi="楷体_GB2312" w:eastAsia="楷体_GB2312" w:cs="楷体_GB2312"/>
          <w:color w:val="auto"/>
          <w:sz w:val="24"/>
          <w:szCs w:val="24"/>
          <w:lang w:val="en-US" w:eastAsia="zh-CN"/>
        </w:rPr>
        <w:t xml:space="preserve">    学院</w:t>
      </w:r>
      <w:r>
        <w:rPr>
          <w:rFonts w:hint="eastAsia" w:ascii="楷体_GB2312" w:hAnsi="楷体_GB2312" w:eastAsia="楷体_GB2312" w:cs="楷体_GB2312"/>
          <w:color w:val="auto"/>
          <w:sz w:val="24"/>
          <w:szCs w:val="24"/>
          <w:highlight w:val="none"/>
        </w:rPr>
        <w:t>现有专职教师</w:t>
      </w:r>
      <w:r>
        <w:rPr>
          <w:rFonts w:hint="eastAsia" w:ascii="楷体_GB2312" w:hAnsi="楷体_GB2312" w:eastAsia="楷体_GB2312" w:cs="楷体_GB2312"/>
          <w:color w:val="auto"/>
          <w:sz w:val="24"/>
          <w:szCs w:val="24"/>
          <w:highlight w:val="none"/>
          <w:lang w:val="en-US" w:eastAsia="zh-CN"/>
        </w:rPr>
        <w:t>18</w:t>
      </w:r>
      <w:r>
        <w:rPr>
          <w:rFonts w:hint="eastAsia" w:ascii="楷体_GB2312" w:hAnsi="楷体_GB2312" w:eastAsia="楷体_GB2312" w:cs="楷体_GB2312"/>
          <w:color w:val="auto"/>
          <w:sz w:val="24"/>
          <w:szCs w:val="24"/>
          <w:highlight w:val="none"/>
        </w:rPr>
        <w:t>人，其中高级职称</w:t>
      </w:r>
      <w:r>
        <w:rPr>
          <w:rFonts w:hint="eastAsia" w:ascii="楷体_GB2312" w:hAnsi="楷体_GB2312" w:eastAsia="楷体_GB2312" w:cs="楷体_GB2312"/>
          <w:color w:val="auto"/>
          <w:sz w:val="24"/>
          <w:szCs w:val="24"/>
          <w:highlight w:val="none"/>
          <w:lang w:val="en-US" w:eastAsia="zh-CN"/>
        </w:rPr>
        <w:t>12</w:t>
      </w:r>
      <w:r>
        <w:rPr>
          <w:rFonts w:hint="eastAsia" w:ascii="楷体_GB2312" w:hAnsi="楷体_GB2312" w:eastAsia="楷体_GB2312" w:cs="楷体_GB2312"/>
          <w:color w:val="auto"/>
          <w:sz w:val="24"/>
          <w:szCs w:val="24"/>
          <w:highlight w:val="none"/>
        </w:rPr>
        <w:t>人，具有硕士研究生及以上学位</w:t>
      </w:r>
      <w:r>
        <w:rPr>
          <w:rFonts w:hint="eastAsia" w:ascii="楷体_GB2312" w:hAnsi="楷体_GB2312" w:eastAsia="楷体_GB2312" w:cs="楷体_GB2312"/>
          <w:color w:val="auto"/>
          <w:sz w:val="24"/>
          <w:szCs w:val="24"/>
          <w:highlight w:val="none"/>
          <w:lang w:val="en-US" w:eastAsia="zh-CN"/>
        </w:rPr>
        <w:t>14</w:t>
      </w:r>
      <w:r>
        <w:rPr>
          <w:rFonts w:hint="eastAsia" w:ascii="楷体_GB2312" w:hAnsi="楷体_GB2312" w:eastAsia="楷体_GB2312" w:cs="楷体_GB2312"/>
          <w:color w:val="auto"/>
          <w:sz w:val="24"/>
          <w:szCs w:val="24"/>
          <w:highlight w:val="none"/>
        </w:rPr>
        <w:t>人，“双师型”教师比例达到了</w:t>
      </w:r>
      <w:r>
        <w:rPr>
          <w:rFonts w:hint="eastAsia" w:ascii="楷体_GB2312" w:hAnsi="楷体_GB2312" w:eastAsia="楷体_GB2312" w:cs="楷体_GB2312"/>
          <w:color w:val="auto"/>
          <w:sz w:val="24"/>
          <w:szCs w:val="24"/>
          <w:highlight w:val="none"/>
          <w:lang w:val="en-US" w:eastAsia="zh-CN"/>
        </w:rPr>
        <w:t>80</w:t>
      </w:r>
      <w:r>
        <w:rPr>
          <w:rFonts w:hint="eastAsia" w:ascii="楷体_GB2312" w:hAnsi="楷体_GB2312" w:eastAsia="楷体_GB2312" w:cs="楷体_GB2312"/>
          <w:color w:val="auto"/>
          <w:sz w:val="24"/>
          <w:szCs w:val="24"/>
          <w:highlight w:val="none"/>
        </w:rPr>
        <w:t>%</w:t>
      </w:r>
      <w:r>
        <w:rPr>
          <w:rFonts w:hint="eastAsia" w:ascii="楷体_GB2312" w:hAnsi="楷体_GB2312" w:eastAsia="楷体_GB2312" w:cs="楷体_GB2312"/>
          <w:color w:val="auto"/>
          <w:sz w:val="24"/>
          <w:szCs w:val="24"/>
          <w:highlight w:val="none"/>
          <w:lang w:val="en-US" w:eastAsia="zh-CN"/>
        </w:rPr>
        <w:t>以上</w:t>
      </w:r>
      <w:r>
        <w:rPr>
          <w:rFonts w:hint="eastAsia" w:ascii="楷体_GB2312" w:hAnsi="楷体_GB2312" w:eastAsia="楷体_GB2312" w:cs="楷体_GB2312"/>
          <w:color w:val="auto"/>
          <w:sz w:val="24"/>
          <w:szCs w:val="24"/>
          <w:highlight w:val="none"/>
        </w:rPr>
        <w:t>。</w:t>
      </w:r>
      <w:r>
        <w:rPr>
          <w:rFonts w:hint="eastAsia" w:ascii="楷体_GB2312" w:hAnsi="楷体_GB2312" w:eastAsia="楷体_GB2312" w:cs="楷体_GB2312"/>
          <w:color w:val="auto"/>
          <w:sz w:val="24"/>
          <w:szCs w:val="24"/>
          <w:highlight w:val="none"/>
          <w:lang w:val="en-US" w:eastAsia="zh-CN"/>
        </w:rPr>
        <w:t>形</w:t>
      </w:r>
      <w:r>
        <w:rPr>
          <w:rFonts w:hint="eastAsia" w:ascii="楷体_GB2312" w:hAnsi="楷体_GB2312" w:eastAsia="楷体_GB2312" w:cs="楷体_GB2312"/>
          <w:kern w:val="0"/>
          <w:sz w:val="24"/>
          <w:szCs w:val="24"/>
          <w:highlight w:val="none"/>
          <w:lang w:val="en-US" w:eastAsia="zh-CN" w:bidi="ar"/>
        </w:rPr>
        <w:t>成了一支师资力量雄厚、职称结构、年龄结构合理的教学团队。聘请的</w:t>
      </w:r>
      <w:r>
        <w:rPr>
          <w:rFonts w:hint="eastAsia" w:ascii="楷体_GB2312" w:hAnsi="楷体_GB2312" w:eastAsia="楷体_GB2312" w:cs="楷体_GB2312"/>
          <w:color w:val="auto"/>
          <w:sz w:val="24"/>
          <w:szCs w:val="24"/>
        </w:rPr>
        <w:t>兼职教师主要由来自</w:t>
      </w:r>
      <w:r>
        <w:rPr>
          <w:rFonts w:hint="eastAsia" w:ascii="楷体_GB2312" w:hAnsi="楷体_GB2312" w:eastAsia="楷体_GB2312" w:cs="楷体_GB2312"/>
          <w:color w:val="auto"/>
          <w:sz w:val="24"/>
          <w:szCs w:val="24"/>
          <w:lang w:val="en-US" w:eastAsia="zh-CN"/>
        </w:rPr>
        <w:t>宠物医院、宠物诊所等</w:t>
      </w:r>
      <w:r>
        <w:rPr>
          <w:rFonts w:hint="eastAsia" w:ascii="楷体_GB2312" w:hAnsi="楷体_GB2312" w:eastAsia="楷体_GB2312" w:cs="楷体_GB2312"/>
          <w:b w:val="0"/>
          <w:bCs w:val="0"/>
          <w:color w:val="000000"/>
          <w:sz w:val="24"/>
          <w:szCs w:val="24"/>
        </w:rPr>
        <w:t>宠物</w:t>
      </w:r>
      <w:r>
        <w:rPr>
          <w:rFonts w:hint="eastAsia" w:ascii="楷体_GB2312" w:hAnsi="楷体_GB2312" w:eastAsia="楷体_GB2312" w:cs="楷体_GB2312"/>
          <w:b w:val="0"/>
          <w:bCs w:val="0"/>
          <w:color w:val="000000"/>
          <w:sz w:val="24"/>
          <w:szCs w:val="24"/>
          <w:lang w:val="en-US" w:eastAsia="zh-CN"/>
        </w:rPr>
        <w:t>诊疗</w:t>
      </w:r>
      <w:r>
        <w:rPr>
          <w:rFonts w:hint="eastAsia" w:ascii="楷体_GB2312" w:hAnsi="楷体_GB2312" w:eastAsia="楷体_GB2312" w:cs="楷体_GB2312"/>
          <w:b w:val="0"/>
          <w:bCs w:val="0"/>
          <w:color w:val="000000"/>
          <w:sz w:val="24"/>
          <w:szCs w:val="24"/>
        </w:rPr>
        <w:t>服务行业</w:t>
      </w:r>
      <w:r>
        <w:rPr>
          <w:rFonts w:hint="eastAsia" w:ascii="楷体_GB2312" w:hAnsi="楷体_GB2312" w:eastAsia="楷体_GB2312" w:cs="楷体_GB2312"/>
          <w:b w:val="0"/>
          <w:bCs w:val="0"/>
          <w:color w:val="000000"/>
          <w:sz w:val="24"/>
          <w:szCs w:val="24"/>
          <w:lang w:val="en-US" w:eastAsia="zh-CN"/>
        </w:rPr>
        <w:t>的</w:t>
      </w:r>
      <w:r>
        <w:rPr>
          <w:rFonts w:hint="eastAsia" w:ascii="楷体_GB2312" w:hAnsi="楷体_GB2312" w:eastAsia="楷体_GB2312" w:cs="楷体_GB2312"/>
          <w:color w:val="auto"/>
          <w:sz w:val="24"/>
          <w:szCs w:val="24"/>
        </w:rPr>
        <w:t>专业人员组成，担任相关核心课程，做到专</w:t>
      </w:r>
      <w:r>
        <w:rPr>
          <w:rFonts w:hint="eastAsia" w:ascii="楷体_GB2312" w:hAnsi="楷体_GB2312" w:eastAsia="楷体_GB2312" w:cs="楷体_GB2312"/>
          <w:color w:val="auto"/>
          <w:sz w:val="24"/>
          <w:szCs w:val="24"/>
          <w:lang w:val="en-US" w:eastAsia="zh-CN"/>
        </w:rPr>
        <w:t>职</w:t>
      </w:r>
      <w:r>
        <w:rPr>
          <w:rFonts w:hint="eastAsia" w:ascii="楷体_GB2312" w:hAnsi="楷体_GB2312" w:eastAsia="楷体_GB2312" w:cs="楷体_GB2312"/>
          <w:color w:val="auto"/>
          <w:sz w:val="24"/>
          <w:szCs w:val="24"/>
        </w:rPr>
        <w:t>教师与企业兼职教师“双带头人制”。</w:t>
      </w:r>
    </w:p>
    <w:p w14:paraId="2256B5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楷体_GB2312" w:hAnsi="楷体_GB2312" w:eastAsia="楷体_GB2312" w:cs="楷体_GB2312"/>
          <w:color w:val="auto"/>
          <w:sz w:val="24"/>
          <w:szCs w:val="24"/>
        </w:rPr>
      </w:pPr>
      <w:r>
        <w:rPr>
          <w:rStyle w:val="6"/>
          <w:rFonts w:hint="eastAsia" w:ascii="楷体_GB2312" w:hAnsi="楷体_GB2312" w:eastAsia="楷体_GB2312" w:cs="楷体_GB2312"/>
          <w:color w:val="auto"/>
          <w:sz w:val="24"/>
          <w:szCs w:val="24"/>
        </w:rPr>
        <w:t>三、专业特色</w:t>
      </w:r>
    </w:p>
    <w:p w14:paraId="6F1B9D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rPr>
          <w:rFonts w:hint="eastAsia" w:ascii="楷体_GB2312" w:hAnsi="楷体_GB2312" w:eastAsia="楷体_GB2312" w:cs="楷体_GB2312"/>
          <w:color w:val="auto"/>
          <w:sz w:val="24"/>
          <w:szCs w:val="24"/>
          <w:lang w:eastAsia="zh-CN"/>
        </w:rPr>
      </w:pPr>
      <w:r>
        <w:rPr>
          <w:rFonts w:hint="eastAsia" w:ascii="楷体_GB2312" w:hAnsi="楷体_GB2312" w:eastAsia="楷体_GB2312" w:cs="楷体_GB2312"/>
          <w:color w:val="auto"/>
          <w:sz w:val="24"/>
          <w:szCs w:val="24"/>
        </w:rPr>
        <w:t>宠物医疗技术专业的核心特色在于聚焦培养宠物</w:t>
      </w:r>
      <w:r>
        <w:rPr>
          <w:rFonts w:hint="eastAsia" w:ascii="楷体_GB2312" w:hAnsi="楷体_GB2312" w:eastAsia="楷体_GB2312" w:cs="楷体_GB2312"/>
          <w:color w:val="auto"/>
          <w:sz w:val="24"/>
          <w:szCs w:val="24"/>
          <w:lang w:val="en-US" w:eastAsia="zh-CN"/>
        </w:rPr>
        <w:t>诊</w:t>
      </w:r>
      <w:r>
        <w:rPr>
          <w:rFonts w:hint="eastAsia" w:ascii="楷体_GB2312" w:hAnsi="楷体_GB2312" w:eastAsia="楷体_GB2312" w:cs="楷体_GB2312"/>
          <w:color w:val="auto"/>
          <w:sz w:val="24"/>
          <w:szCs w:val="24"/>
        </w:rPr>
        <w:t>疗行业一线</w:t>
      </w:r>
      <w:r>
        <w:rPr>
          <w:rFonts w:hint="eastAsia" w:ascii="楷体_GB2312" w:hAnsi="楷体_GB2312" w:eastAsia="楷体_GB2312" w:cs="楷体_GB2312"/>
          <w:color w:val="auto"/>
          <w:sz w:val="24"/>
          <w:szCs w:val="24"/>
          <w:lang w:val="en-US" w:eastAsia="zh-CN"/>
        </w:rPr>
        <w:t>宠物医师、宠物医师助理或宠物健康护理员，通过理论学习和实训实习，熟练掌握常见病的诊断、治疗、疫情防控和</w:t>
      </w:r>
      <w:r>
        <w:rPr>
          <w:rFonts w:hint="eastAsia" w:ascii="楷体_GB2312" w:hAnsi="楷体_GB2312" w:eastAsia="楷体_GB2312" w:cs="楷体_GB2312"/>
          <w:color w:val="auto"/>
          <w:sz w:val="24"/>
          <w:szCs w:val="24"/>
        </w:rPr>
        <w:t>临床护理</w:t>
      </w:r>
      <w:r>
        <w:rPr>
          <w:rFonts w:hint="eastAsia" w:ascii="楷体_GB2312" w:hAnsi="楷体_GB2312" w:eastAsia="楷体_GB2312" w:cs="楷体_GB2312"/>
          <w:color w:val="auto"/>
          <w:sz w:val="24"/>
          <w:szCs w:val="24"/>
          <w:lang w:val="en-US" w:eastAsia="zh-CN"/>
        </w:rPr>
        <w:t>等技术，</w:t>
      </w:r>
      <w:r>
        <w:rPr>
          <w:rFonts w:hint="eastAsia" w:ascii="楷体_GB2312" w:hAnsi="楷体_GB2312" w:eastAsia="楷体_GB2312" w:cs="楷体_GB2312"/>
          <w:color w:val="auto"/>
          <w:sz w:val="24"/>
          <w:szCs w:val="24"/>
        </w:rPr>
        <w:t>高度重视沟通能力、团队协作、爱心</w:t>
      </w:r>
      <w:r>
        <w:rPr>
          <w:rFonts w:hint="eastAsia" w:ascii="楷体_GB2312" w:hAnsi="楷体_GB2312" w:eastAsia="楷体_GB2312" w:cs="楷体_GB2312"/>
          <w:color w:val="auto"/>
          <w:sz w:val="24"/>
          <w:szCs w:val="24"/>
          <w:lang w:eastAsia="zh-CN"/>
        </w:rPr>
        <w:t>、</w:t>
      </w:r>
      <w:r>
        <w:rPr>
          <w:rFonts w:hint="eastAsia" w:ascii="楷体_GB2312" w:hAnsi="楷体_GB2312" w:eastAsia="楷体_GB2312" w:cs="楷体_GB2312"/>
          <w:color w:val="auto"/>
          <w:sz w:val="24"/>
          <w:szCs w:val="24"/>
        </w:rPr>
        <w:t>责任心、及动物福利等</w:t>
      </w:r>
      <w:r>
        <w:rPr>
          <w:rFonts w:hint="eastAsia" w:ascii="楷体_GB2312" w:hAnsi="楷体_GB2312" w:eastAsia="楷体_GB2312" w:cs="楷体_GB2312"/>
          <w:color w:val="auto"/>
          <w:sz w:val="24"/>
          <w:szCs w:val="24"/>
          <w:lang w:val="en-US" w:eastAsia="zh-CN"/>
        </w:rPr>
        <w:t>综合职业素养，</w:t>
      </w:r>
      <w:r>
        <w:rPr>
          <w:rFonts w:hint="eastAsia" w:ascii="楷体_GB2312" w:hAnsi="楷体_GB2312" w:eastAsia="楷体_GB2312" w:cs="楷体_GB2312"/>
          <w:color w:val="auto"/>
          <w:sz w:val="24"/>
          <w:szCs w:val="24"/>
        </w:rPr>
        <w:t>确保毕业生能快速适应行业技术发展</w:t>
      </w:r>
      <w:r>
        <w:rPr>
          <w:rFonts w:hint="eastAsia" w:ascii="楷体_GB2312" w:hAnsi="楷体_GB2312" w:eastAsia="楷体_GB2312" w:cs="楷体_GB2312"/>
          <w:color w:val="auto"/>
          <w:sz w:val="24"/>
          <w:szCs w:val="24"/>
          <w:lang w:val="en-US" w:eastAsia="zh-CN"/>
        </w:rPr>
        <w:t>。</w:t>
      </w:r>
    </w:p>
    <w:p w14:paraId="22052918">
      <w:pPr>
        <w:pStyle w:val="3"/>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Style w:val="6"/>
          <w:rFonts w:hint="eastAsia" w:ascii="楷体_GB2312" w:hAnsi="楷体_GB2312" w:eastAsia="楷体_GB2312" w:cs="楷体_GB2312"/>
          <w:color w:val="auto"/>
          <w:sz w:val="24"/>
          <w:szCs w:val="24"/>
        </w:rPr>
      </w:pPr>
      <w:r>
        <w:rPr>
          <w:rStyle w:val="6"/>
          <w:rFonts w:hint="eastAsia" w:ascii="楷体_GB2312" w:hAnsi="楷体_GB2312" w:eastAsia="楷体_GB2312" w:cs="楷体_GB2312"/>
          <w:color w:val="auto"/>
          <w:sz w:val="24"/>
          <w:szCs w:val="24"/>
        </w:rPr>
        <w:t>课程设置及考取证书情况</w:t>
      </w:r>
    </w:p>
    <w:p w14:paraId="26AD71B8">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0" w:firstLineChars="200"/>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1.课程设置</w:t>
      </w:r>
    </w:p>
    <w:p w14:paraId="1A7383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 xml:space="preserve">    </w:t>
      </w:r>
      <w:r>
        <w:rPr>
          <w:rFonts w:hint="eastAsia" w:ascii="楷体_GB2312" w:hAnsi="楷体_GB2312" w:eastAsia="楷体_GB2312" w:cs="楷体_GB2312"/>
          <w:color w:val="auto"/>
          <w:sz w:val="24"/>
          <w:szCs w:val="24"/>
          <w:lang w:val="en-US" w:eastAsia="zh-CN"/>
        </w:rPr>
        <w:t xml:space="preserve"> </w:t>
      </w:r>
      <w:r>
        <w:rPr>
          <w:rFonts w:hint="eastAsia" w:ascii="楷体_GB2312" w:hAnsi="楷体_GB2312" w:eastAsia="楷体_GB2312" w:cs="楷体_GB2312"/>
          <w:color w:val="auto"/>
          <w:sz w:val="24"/>
          <w:szCs w:val="24"/>
        </w:rPr>
        <w:t>根据专业</w:t>
      </w:r>
      <w:r>
        <w:rPr>
          <w:rFonts w:hint="eastAsia" w:ascii="楷体_GB2312" w:hAnsi="楷体_GB2312" w:eastAsia="楷体_GB2312" w:cs="楷体_GB2312"/>
          <w:color w:val="auto"/>
          <w:sz w:val="24"/>
          <w:szCs w:val="24"/>
          <w:lang w:val="en-US" w:eastAsia="zh-CN"/>
        </w:rPr>
        <w:t>人才</w:t>
      </w:r>
      <w:r>
        <w:rPr>
          <w:rFonts w:hint="eastAsia" w:ascii="楷体_GB2312" w:hAnsi="楷体_GB2312" w:eastAsia="楷体_GB2312" w:cs="楷体_GB2312"/>
          <w:color w:val="auto"/>
          <w:sz w:val="24"/>
          <w:szCs w:val="24"/>
        </w:rPr>
        <w:t>培养目标和学院实际情况，开设宠物疾病临床诊断技术、宠物疾病临床护理技术、宠物外科手术、宠物实验室检测技术、犬病防治技术、猫病防治技术、宠物医院实务等</w:t>
      </w:r>
      <w:r>
        <w:rPr>
          <w:rFonts w:hint="eastAsia" w:ascii="楷体_GB2312" w:hAnsi="楷体_GB2312" w:eastAsia="楷体_GB2312" w:cs="楷体_GB2312"/>
          <w:color w:val="auto"/>
          <w:sz w:val="24"/>
          <w:szCs w:val="24"/>
          <w:lang w:val="en-US" w:eastAsia="zh-CN"/>
        </w:rPr>
        <w:t>专业</w:t>
      </w:r>
      <w:r>
        <w:rPr>
          <w:rFonts w:hint="eastAsia" w:ascii="楷体_GB2312" w:hAnsi="楷体_GB2312" w:eastAsia="楷体_GB2312" w:cs="楷体_GB2312"/>
          <w:color w:val="auto"/>
          <w:sz w:val="24"/>
          <w:szCs w:val="24"/>
        </w:rPr>
        <w:t>课程</w:t>
      </w:r>
      <w:r>
        <w:rPr>
          <w:rFonts w:hint="eastAsia" w:ascii="楷体_GB2312" w:hAnsi="楷体_GB2312" w:eastAsia="楷体_GB2312" w:cs="楷体_GB2312"/>
          <w:color w:val="auto"/>
          <w:sz w:val="24"/>
          <w:szCs w:val="24"/>
          <w:lang w:eastAsia="zh-CN"/>
        </w:rPr>
        <w:t>，</w:t>
      </w:r>
      <w:r>
        <w:rPr>
          <w:rFonts w:hint="eastAsia" w:ascii="楷体_GB2312" w:hAnsi="楷体_GB2312" w:eastAsia="楷体_GB2312" w:cs="楷体_GB2312"/>
          <w:color w:val="auto"/>
          <w:sz w:val="24"/>
          <w:szCs w:val="24"/>
          <w:lang w:val="en-US" w:eastAsia="zh-CN"/>
        </w:rPr>
        <w:t>同时开设</w:t>
      </w:r>
      <w:r>
        <w:rPr>
          <w:rFonts w:hint="eastAsia" w:ascii="楷体_GB2312" w:hAnsi="楷体_GB2312" w:eastAsia="楷体_GB2312" w:cs="楷体_GB2312"/>
          <w:color w:val="auto"/>
          <w:sz w:val="24"/>
          <w:szCs w:val="24"/>
        </w:rPr>
        <w:t>思想道德与</w:t>
      </w:r>
      <w:r>
        <w:rPr>
          <w:rFonts w:hint="eastAsia" w:ascii="楷体_GB2312" w:hAnsi="楷体_GB2312" w:eastAsia="楷体_GB2312" w:cs="楷体_GB2312"/>
          <w:color w:val="auto"/>
          <w:sz w:val="24"/>
          <w:szCs w:val="24"/>
          <w:lang w:val="en-US" w:eastAsia="zh-CN"/>
        </w:rPr>
        <w:t>法制</w:t>
      </w:r>
      <w:r>
        <w:rPr>
          <w:rFonts w:hint="eastAsia" w:ascii="楷体_GB2312" w:hAnsi="楷体_GB2312" w:eastAsia="楷体_GB2312" w:cs="楷体_GB2312"/>
          <w:color w:val="auto"/>
          <w:sz w:val="24"/>
          <w:szCs w:val="24"/>
        </w:rPr>
        <w:t>、</w:t>
      </w:r>
      <w:r>
        <w:rPr>
          <w:rFonts w:hint="eastAsia" w:ascii="楷体_GB2312" w:hAnsi="楷体_GB2312" w:eastAsia="楷体_GB2312" w:cs="楷体_GB2312"/>
          <w:color w:val="auto"/>
          <w:sz w:val="24"/>
          <w:szCs w:val="24"/>
          <w:lang w:val="en-US" w:eastAsia="zh-CN"/>
        </w:rPr>
        <w:t>美育教育</w:t>
      </w:r>
      <w:r>
        <w:rPr>
          <w:rFonts w:hint="eastAsia" w:ascii="楷体_GB2312" w:hAnsi="楷体_GB2312" w:eastAsia="楷体_GB2312" w:cs="楷体_GB2312"/>
          <w:color w:val="auto"/>
          <w:sz w:val="24"/>
          <w:szCs w:val="24"/>
        </w:rPr>
        <w:t>、科学精神与科学技术、艺术鉴赏与审美人生</w:t>
      </w:r>
      <w:r>
        <w:rPr>
          <w:rFonts w:hint="eastAsia" w:ascii="楷体_GB2312" w:hAnsi="楷体_GB2312" w:eastAsia="楷体_GB2312" w:cs="楷体_GB2312"/>
          <w:color w:val="auto"/>
          <w:sz w:val="24"/>
          <w:szCs w:val="24"/>
          <w:lang w:eastAsia="zh-CN"/>
        </w:rPr>
        <w:t>、</w:t>
      </w:r>
      <w:r>
        <w:rPr>
          <w:rFonts w:hint="eastAsia" w:ascii="楷体_GB2312" w:hAnsi="楷体_GB2312" w:eastAsia="楷体_GB2312" w:cs="楷体_GB2312"/>
          <w:color w:val="auto"/>
          <w:sz w:val="24"/>
          <w:szCs w:val="24"/>
        </w:rPr>
        <w:t>大学生就业指导与创业教育等公共课程。</w:t>
      </w:r>
    </w:p>
    <w:p w14:paraId="53DFA723">
      <w:pPr>
        <w:keepNext w:val="0"/>
        <w:keepLines w:val="0"/>
        <w:widowControl/>
        <w:numPr>
          <w:ilvl w:val="0"/>
          <w:numId w:val="0"/>
        </w:numPr>
        <w:suppressLineNumbers w:val="0"/>
        <w:spacing w:line="360" w:lineRule="auto"/>
        <w:ind w:firstLine="480" w:firstLineChars="200"/>
        <w:jc w:val="left"/>
        <w:rPr>
          <w:rFonts w:hint="eastAsia" w:ascii="楷体_GB2312" w:hAnsi="楷体_GB2312" w:eastAsia="楷体_GB2312" w:cs="楷体_GB2312"/>
          <w:color w:val="auto"/>
          <w:kern w:val="0"/>
          <w:sz w:val="24"/>
          <w:szCs w:val="24"/>
          <w:highlight w:val="none"/>
          <w:lang w:val="en-US" w:eastAsia="zh-CN" w:bidi="ar"/>
        </w:rPr>
      </w:pPr>
      <w:r>
        <w:rPr>
          <w:rFonts w:hint="eastAsia" w:ascii="楷体_GB2312" w:hAnsi="楷体_GB2312" w:eastAsia="楷体_GB2312" w:cs="楷体_GB2312"/>
          <w:color w:val="auto"/>
          <w:kern w:val="0"/>
          <w:sz w:val="24"/>
          <w:szCs w:val="24"/>
          <w:lang w:val="en-US" w:eastAsia="zh-CN" w:bidi="ar"/>
        </w:rPr>
        <w:t>2.</w:t>
      </w:r>
      <w:r>
        <w:rPr>
          <w:rFonts w:hint="eastAsia" w:ascii="楷体_GB2312" w:hAnsi="楷体_GB2312" w:eastAsia="楷体_GB2312" w:cs="楷体_GB2312"/>
          <w:color w:val="auto"/>
          <w:kern w:val="0"/>
          <w:sz w:val="24"/>
          <w:szCs w:val="24"/>
          <w:highlight w:val="none"/>
          <w:lang w:val="en-US" w:eastAsia="zh-CN" w:bidi="ar"/>
        </w:rPr>
        <w:t>考取证书情况</w:t>
      </w:r>
    </w:p>
    <w:p w14:paraId="7A947E13">
      <w:pPr>
        <w:keepNext w:val="0"/>
        <w:keepLines w:val="0"/>
        <w:widowControl/>
        <w:numPr>
          <w:ilvl w:val="0"/>
          <w:numId w:val="0"/>
        </w:numPr>
        <w:suppressLineNumbers w:val="0"/>
        <w:spacing w:line="360" w:lineRule="auto"/>
        <w:ind w:firstLine="480" w:firstLineChars="200"/>
        <w:jc w:val="left"/>
        <w:rPr>
          <w:rFonts w:hint="eastAsia" w:ascii="楷体_GB2312" w:hAnsi="楷体_GB2312" w:eastAsia="楷体_GB2312" w:cs="楷体_GB2312"/>
          <w:color w:val="auto"/>
          <w:kern w:val="0"/>
          <w:sz w:val="24"/>
          <w:szCs w:val="24"/>
          <w:highlight w:val="none"/>
          <w:lang w:val="en-US" w:eastAsia="zh-CN" w:bidi="ar"/>
        </w:rPr>
      </w:pPr>
      <w:r>
        <w:rPr>
          <w:rFonts w:hint="eastAsia" w:ascii="楷体_GB2312" w:hAnsi="楷体_GB2312" w:eastAsia="楷体_GB2312" w:cs="楷体_GB2312"/>
          <w:color w:val="auto"/>
          <w:kern w:val="0"/>
          <w:sz w:val="24"/>
          <w:szCs w:val="24"/>
          <w:highlight w:val="none"/>
          <w:lang w:val="en-US" w:eastAsia="zh-CN" w:bidi="ar"/>
        </w:rPr>
        <w:t>宠物诊疗技术专业学生可考取国家执业兽医资格证书，也可以报名考取动物检疫检验员、宠物美容师、宠物健康护理员等职业技能鉴定证书。</w:t>
      </w:r>
    </w:p>
    <w:p w14:paraId="7D43C9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楷体_GB2312" w:hAnsi="楷体_GB2312" w:eastAsia="楷体_GB2312" w:cs="楷体_GB2312"/>
          <w:color w:val="auto"/>
          <w:sz w:val="24"/>
          <w:szCs w:val="24"/>
        </w:rPr>
      </w:pPr>
      <w:r>
        <w:rPr>
          <w:rStyle w:val="6"/>
          <w:rFonts w:hint="eastAsia" w:ascii="楷体_GB2312" w:hAnsi="楷体_GB2312" w:eastAsia="楷体_GB2312" w:cs="楷体_GB2312"/>
          <w:color w:val="auto"/>
          <w:sz w:val="24"/>
          <w:szCs w:val="24"/>
        </w:rPr>
        <w:t>五、实训条件</w:t>
      </w:r>
    </w:p>
    <w:p w14:paraId="266B59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0" w:firstLineChars="200"/>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1.校内实训基地</w:t>
      </w:r>
    </w:p>
    <w:p w14:paraId="6521BAE7">
      <w:pPr>
        <w:pStyle w:val="3"/>
        <w:keepNext w:val="0"/>
        <w:keepLines w:val="0"/>
        <w:widowControl/>
        <w:pBdr>
          <w:top w:val="none" w:color="auto" w:sz="0" w:space="0"/>
          <w:left w:val="none" w:color="auto" w:sz="0" w:space="0"/>
          <w:bottom w:val="none" w:color="auto" w:sz="0" w:space="0"/>
          <w:right w:val="none" w:color="auto" w:sz="0" w:space="0"/>
        </w:pBdr>
        <w:bidi w:val="0"/>
        <w:spacing w:before="0" w:beforeAutospacing="0" w:after="0" w:afterAutospacing="0" w:line="360" w:lineRule="auto"/>
        <w:ind w:right="0" w:firstLine="480" w:firstLineChars="200"/>
        <w:jc w:val="left"/>
        <w:rPr>
          <w:rFonts w:hint="eastAsia" w:ascii="楷体_GB2312" w:hAnsi="楷体_GB2312" w:eastAsia="楷体_GB2312" w:cs="楷体_GB2312"/>
          <w:color w:val="auto"/>
          <w:sz w:val="24"/>
          <w:szCs w:val="24"/>
          <w:lang w:eastAsia="zh-CN"/>
        </w:rPr>
      </w:pPr>
      <w:r>
        <w:rPr>
          <w:rFonts w:hint="eastAsia" w:ascii="楷体_GB2312" w:hAnsi="楷体_GB2312" w:eastAsia="楷体_GB2312" w:cs="楷体_GB2312"/>
          <w:color w:val="auto"/>
          <w:kern w:val="0"/>
          <w:sz w:val="24"/>
          <w:szCs w:val="24"/>
          <w:lang w:val="en-US" w:eastAsia="zh-CN" w:bidi="ar"/>
        </w:rPr>
        <w:t>宠物医疗技术专业</w:t>
      </w:r>
      <w:r>
        <w:rPr>
          <w:rFonts w:hint="eastAsia" w:ascii="楷体_GB2312" w:hAnsi="楷体_GB2312" w:eastAsia="楷体_GB2312" w:cs="楷体_GB2312"/>
          <w:color w:val="auto"/>
          <w:kern w:val="0"/>
          <w:sz w:val="24"/>
          <w:szCs w:val="24"/>
          <w:lang w:bidi="ar"/>
        </w:rPr>
        <w:t>校内实训基地</w:t>
      </w:r>
      <w:r>
        <w:rPr>
          <w:rFonts w:hint="eastAsia" w:ascii="楷体_GB2312" w:hAnsi="楷体_GB2312" w:eastAsia="楷体_GB2312" w:cs="楷体_GB2312"/>
          <w:color w:val="auto"/>
          <w:kern w:val="0"/>
          <w:sz w:val="24"/>
          <w:szCs w:val="24"/>
          <w:lang w:val="en-US" w:eastAsia="zh-CN" w:bidi="ar"/>
        </w:rPr>
        <w:t>设有解剖实训室、生理实训室、病理实训室、微生物实训室、药理实训室、宠物美容护理室、虚拟仿真实训室等，</w:t>
      </w:r>
      <w:r>
        <w:rPr>
          <w:rFonts w:hint="eastAsia" w:ascii="楷体_GB2312" w:hAnsi="楷体_GB2312" w:eastAsia="楷体_GB2312" w:cs="楷体_GB2312"/>
          <w:color w:val="auto"/>
          <w:kern w:val="0"/>
          <w:sz w:val="24"/>
          <w:szCs w:val="24"/>
          <w:lang w:bidi="ar"/>
        </w:rPr>
        <w:t>总面积超过</w:t>
      </w:r>
      <w:r>
        <w:rPr>
          <w:rFonts w:hint="eastAsia" w:ascii="楷体_GB2312" w:hAnsi="楷体_GB2312" w:eastAsia="楷体_GB2312" w:cs="楷体_GB2312"/>
          <w:color w:val="auto"/>
          <w:kern w:val="0"/>
          <w:sz w:val="24"/>
          <w:szCs w:val="24"/>
          <w:lang w:val="en-US" w:eastAsia="zh-CN" w:bidi="ar"/>
        </w:rPr>
        <w:t>8</w:t>
      </w:r>
      <w:r>
        <w:rPr>
          <w:rFonts w:hint="eastAsia" w:ascii="楷体_GB2312" w:hAnsi="楷体_GB2312" w:eastAsia="楷体_GB2312" w:cs="楷体_GB2312"/>
          <w:color w:val="auto"/>
          <w:kern w:val="0"/>
          <w:sz w:val="24"/>
          <w:szCs w:val="24"/>
          <w:lang w:bidi="ar"/>
        </w:rPr>
        <w:t>00平方米。</w:t>
      </w:r>
      <w:r>
        <w:rPr>
          <w:rFonts w:hint="eastAsia" w:ascii="楷体_GB2312" w:hAnsi="楷体_GB2312" w:eastAsia="楷体_GB2312" w:cs="楷体_GB2312"/>
          <w:color w:val="auto"/>
          <w:kern w:val="0"/>
          <w:sz w:val="24"/>
          <w:szCs w:val="24"/>
          <w:lang w:val="en-US" w:eastAsia="zh-CN" w:bidi="ar"/>
        </w:rPr>
        <w:t>校内实训室</w:t>
      </w:r>
      <w:r>
        <w:rPr>
          <w:rFonts w:hint="eastAsia" w:ascii="楷体_GB2312" w:hAnsi="楷体_GB2312" w:eastAsia="楷体_GB2312" w:cs="楷体_GB2312"/>
          <w:color w:val="auto"/>
          <w:kern w:val="0"/>
          <w:sz w:val="24"/>
          <w:szCs w:val="24"/>
          <w:lang w:bidi="ar"/>
        </w:rPr>
        <w:t>能够承担动物解剖</w:t>
      </w:r>
      <w:r>
        <w:rPr>
          <w:rFonts w:hint="eastAsia" w:ascii="楷体_GB2312" w:hAnsi="楷体_GB2312" w:eastAsia="楷体_GB2312" w:cs="楷体_GB2312"/>
          <w:color w:val="auto"/>
          <w:kern w:val="0"/>
          <w:sz w:val="24"/>
          <w:szCs w:val="24"/>
          <w:lang w:eastAsia="zh-CN" w:bidi="ar"/>
        </w:rPr>
        <w:t>、</w:t>
      </w:r>
      <w:r>
        <w:rPr>
          <w:rFonts w:hint="eastAsia" w:ascii="楷体_GB2312" w:hAnsi="楷体_GB2312" w:eastAsia="楷体_GB2312" w:cs="楷体_GB2312"/>
          <w:color w:val="auto"/>
          <w:kern w:val="0"/>
          <w:sz w:val="24"/>
          <w:szCs w:val="24"/>
          <w:lang w:bidi="ar"/>
        </w:rPr>
        <w:t>生理、</w:t>
      </w:r>
      <w:r>
        <w:rPr>
          <w:rFonts w:hint="eastAsia" w:ascii="楷体_GB2312" w:hAnsi="楷体_GB2312" w:eastAsia="楷体_GB2312" w:cs="楷体_GB2312"/>
          <w:color w:val="auto"/>
          <w:kern w:val="0"/>
          <w:sz w:val="24"/>
          <w:szCs w:val="24"/>
          <w:lang w:val="en-US" w:eastAsia="zh-CN" w:bidi="ar"/>
        </w:rPr>
        <w:t>病例、</w:t>
      </w:r>
      <w:r>
        <w:rPr>
          <w:rFonts w:hint="eastAsia" w:ascii="楷体_GB2312" w:hAnsi="楷体_GB2312" w:eastAsia="楷体_GB2312" w:cs="楷体_GB2312"/>
          <w:color w:val="auto"/>
          <w:kern w:val="0"/>
          <w:sz w:val="24"/>
          <w:szCs w:val="24"/>
          <w:lang w:bidi="ar"/>
        </w:rPr>
        <w:t>药理、</w:t>
      </w:r>
      <w:r>
        <w:rPr>
          <w:rFonts w:hint="eastAsia" w:ascii="楷体_GB2312" w:hAnsi="楷体_GB2312" w:eastAsia="楷体_GB2312" w:cs="楷体_GB2312"/>
          <w:color w:val="auto"/>
          <w:kern w:val="0"/>
          <w:sz w:val="24"/>
          <w:szCs w:val="24"/>
          <w:lang w:val="en-US" w:eastAsia="zh-CN" w:bidi="ar"/>
        </w:rPr>
        <w:t>实验室检测、宠物美容与护理</w:t>
      </w:r>
      <w:r>
        <w:rPr>
          <w:rFonts w:hint="eastAsia" w:ascii="楷体_GB2312" w:hAnsi="楷体_GB2312" w:eastAsia="楷体_GB2312" w:cs="楷体_GB2312"/>
          <w:color w:val="auto"/>
          <w:kern w:val="0"/>
          <w:sz w:val="24"/>
          <w:szCs w:val="24"/>
          <w:lang w:bidi="ar"/>
        </w:rPr>
        <w:t>等专业课程的</w:t>
      </w:r>
      <w:r>
        <w:rPr>
          <w:rFonts w:hint="eastAsia" w:ascii="楷体_GB2312" w:hAnsi="楷体_GB2312" w:eastAsia="楷体_GB2312" w:cs="楷体_GB2312"/>
          <w:color w:val="auto"/>
          <w:kern w:val="0"/>
          <w:sz w:val="24"/>
          <w:szCs w:val="24"/>
          <w:lang w:val="en-US" w:eastAsia="zh-CN" w:bidi="ar"/>
        </w:rPr>
        <w:t>实训</w:t>
      </w:r>
      <w:r>
        <w:rPr>
          <w:rFonts w:hint="eastAsia" w:ascii="楷体_GB2312" w:hAnsi="楷体_GB2312" w:eastAsia="楷体_GB2312" w:cs="楷体_GB2312"/>
          <w:color w:val="auto"/>
          <w:kern w:val="0"/>
          <w:sz w:val="24"/>
          <w:szCs w:val="24"/>
          <w:lang w:bidi="ar"/>
        </w:rPr>
        <w:t>教学。</w:t>
      </w:r>
      <w:bookmarkStart w:id="0" w:name="_GoBack"/>
      <w:bookmarkEnd w:id="0"/>
    </w:p>
    <w:p w14:paraId="471EAD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both"/>
        <w:rPr>
          <w:rFonts w:hint="default" w:ascii="方正仿宋_GB2312" w:hAnsi="方正仿宋_GB2312" w:eastAsia="方正仿宋_GB2312" w:cs="方正仿宋_GB2312"/>
          <w:color w:val="auto"/>
          <w:sz w:val="28"/>
          <w:szCs w:val="28"/>
          <w:lang w:val="en-US" w:eastAsia="zh-CN"/>
        </w:rPr>
      </w:pPr>
      <w:r>
        <w:rPr>
          <w:rFonts w:hint="eastAsia" w:ascii="方正仿宋_GB2312" w:hAnsi="方正仿宋_GB2312" w:eastAsia="方正仿宋_GB2312" w:cs="方正仿宋_GB2312"/>
          <w:sz w:val="28"/>
          <w:szCs w:val="28"/>
          <w:lang w:val="en-US" w:eastAsia="zh-CN"/>
        </w:rPr>
        <w:t xml:space="preserve"> </w:t>
      </w:r>
      <w:r>
        <w:rPr>
          <w:rFonts w:hint="eastAsia" w:ascii="方正仿宋_GB2312" w:hAnsi="方正仿宋_GB2312" w:eastAsia="方正仿宋_GB2312" w:cs="方正仿宋_GB2312"/>
          <w:color w:val="auto"/>
          <w:sz w:val="28"/>
          <w:szCs w:val="28"/>
          <w:lang w:eastAsia="zh-CN"/>
        </w:rPr>
        <w:drawing>
          <wp:inline distT="0" distB="0" distL="114300" distR="114300">
            <wp:extent cx="2520315" cy="1908175"/>
            <wp:effectExtent l="0" t="0" r="3810" b="6350"/>
            <wp:docPr id="1" name="图片 1" descr="2ee87aec84347f0dc83b61aef3930c0"/>
            <wp:cNvGraphicFramePr/>
            <a:graphic xmlns:a="http://schemas.openxmlformats.org/drawingml/2006/main">
              <a:graphicData uri="http://schemas.openxmlformats.org/drawingml/2006/picture">
                <pic:pic xmlns:pic="http://schemas.openxmlformats.org/drawingml/2006/picture">
                  <pic:nvPicPr>
                    <pic:cNvPr id="1" name="图片 1" descr="2ee87aec84347f0dc83b61aef3930c0"/>
                    <pic:cNvPicPr/>
                  </pic:nvPicPr>
                  <pic:blipFill>
                    <a:blip r:embed="rId4"/>
                    <a:stretch>
                      <a:fillRect/>
                    </a:stretch>
                  </pic:blipFill>
                  <pic:spPr>
                    <a:xfrm>
                      <a:off x="0" y="0"/>
                      <a:ext cx="2520315" cy="1908175"/>
                    </a:xfrm>
                    <a:prstGeom prst="rect">
                      <a:avLst/>
                    </a:prstGeom>
                  </pic:spPr>
                </pic:pic>
              </a:graphicData>
            </a:graphic>
          </wp:inline>
        </w:drawing>
      </w:r>
      <w:r>
        <w:rPr>
          <w:rFonts w:hint="eastAsia" w:ascii="方正仿宋_GB2312" w:hAnsi="方正仿宋_GB2312" w:eastAsia="方正仿宋_GB2312" w:cs="方正仿宋_GB2312"/>
          <w:color w:val="auto"/>
          <w:sz w:val="28"/>
          <w:szCs w:val="28"/>
          <w:lang w:val="en-US" w:eastAsia="zh-CN"/>
        </w:rPr>
        <w:t xml:space="preserve"> </w:t>
      </w:r>
      <w:r>
        <w:rPr>
          <w:rFonts w:hint="default" w:ascii="方正仿宋_GB2312" w:hAnsi="方正仿宋_GB2312" w:eastAsia="方正仿宋_GB2312" w:cs="方正仿宋_GB2312"/>
          <w:color w:val="auto"/>
          <w:sz w:val="28"/>
          <w:szCs w:val="28"/>
          <w:lang w:val="en-US" w:eastAsia="zh-CN"/>
        </w:rPr>
        <w:drawing>
          <wp:inline distT="0" distB="0" distL="114300" distR="114300">
            <wp:extent cx="2520315" cy="1908175"/>
            <wp:effectExtent l="0" t="0" r="3810" b="6350"/>
            <wp:docPr id="2" name="图片 2" descr="0496005582efa11891733f1c9d0ade6"/>
            <wp:cNvGraphicFramePr/>
            <a:graphic xmlns:a="http://schemas.openxmlformats.org/drawingml/2006/main">
              <a:graphicData uri="http://schemas.openxmlformats.org/drawingml/2006/picture">
                <pic:pic xmlns:pic="http://schemas.openxmlformats.org/drawingml/2006/picture">
                  <pic:nvPicPr>
                    <pic:cNvPr id="2" name="图片 2" descr="0496005582efa11891733f1c9d0ade6"/>
                    <pic:cNvPicPr/>
                  </pic:nvPicPr>
                  <pic:blipFill>
                    <a:blip r:embed="rId5"/>
                    <a:stretch>
                      <a:fillRect/>
                    </a:stretch>
                  </pic:blipFill>
                  <pic:spPr>
                    <a:xfrm>
                      <a:off x="0" y="0"/>
                      <a:ext cx="2520315" cy="1908175"/>
                    </a:xfrm>
                    <a:prstGeom prst="rect">
                      <a:avLst/>
                    </a:prstGeom>
                  </pic:spPr>
                </pic:pic>
              </a:graphicData>
            </a:graphic>
          </wp:inline>
        </w:drawing>
      </w:r>
    </w:p>
    <w:p w14:paraId="69064B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default" w:ascii="方正仿宋_GB2312" w:hAnsi="方正仿宋_GB2312" w:eastAsia="方正仿宋_GB2312" w:cs="方正仿宋_GB2312"/>
          <w:color w:val="auto"/>
          <w:sz w:val="28"/>
          <w:szCs w:val="28"/>
          <w:lang w:val="en-US" w:eastAsia="zh-CN"/>
        </w:rPr>
      </w:pPr>
      <w:r>
        <w:rPr>
          <w:rFonts w:hint="eastAsia" w:ascii="方正仿宋_GB2312" w:hAnsi="方正仿宋_GB2312" w:eastAsia="方正仿宋_GB2312" w:cs="方正仿宋_GB2312"/>
          <w:color w:val="auto"/>
          <w:sz w:val="28"/>
          <w:szCs w:val="28"/>
          <w:lang w:val="en-US" w:eastAsia="zh-CN"/>
        </w:rPr>
        <w:t xml:space="preserve"> </w:t>
      </w:r>
      <w:r>
        <w:rPr>
          <w:rFonts w:hint="default" w:ascii="方正仿宋_GB2312" w:hAnsi="方正仿宋_GB2312" w:eastAsia="方正仿宋_GB2312" w:cs="方正仿宋_GB2312"/>
          <w:color w:val="auto"/>
          <w:sz w:val="28"/>
          <w:szCs w:val="28"/>
          <w:lang w:val="en-US" w:eastAsia="zh-CN"/>
        </w:rPr>
        <w:drawing>
          <wp:inline distT="0" distB="0" distL="114300" distR="114300">
            <wp:extent cx="2520315" cy="1908175"/>
            <wp:effectExtent l="0" t="0" r="3810" b="6350"/>
            <wp:docPr id="3" name="图片 3" descr="1901aa126f80d7c4ff4bb89d817a396"/>
            <wp:cNvGraphicFramePr/>
            <a:graphic xmlns:a="http://schemas.openxmlformats.org/drawingml/2006/main">
              <a:graphicData uri="http://schemas.openxmlformats.org/drawingml/2006/picture">
                <pic:pic xmlns:pic="http://schemas.openxmlformats.org/drawingml/2006/picture">
                  <pic:nvPicPr>
                    <pic:cNvPr id="3" name="图片 3" descr="1901aa126f80d7c4ff4bb89d817a396"/>
                    <pic:cNvPicPr/>
                  </pic:nvPicPr>
                  <pic:blipFill>
                    <a:blip r:embed="rId6"/>
                    <a:stretch>
                      <a:fillRect/>
                    </a:stretch>
                  </pic:blipFill>
                  <pic:spPr>
                    <a:xfrm>
                      <a:off x="0" y="0"/>
                      <a:ext cx="2520315" cy="1908175"/>
                    </a:xfrm>
                    <a:prstGeom prst="rect">
                      <a:avLst/>
                    </a:prstGeom>
                  </pic:spPr>
                </pic:pic>
              </a:graphicData>
            </a:graphic>
          </wp:inline>
        </w:drawing>
      </w:r>
      <w:r>
        <w:rPr>
          <w:rFonts w:hint="eastAsia" w:ascii="方正仿宋_GB2312" w:hAnsi="方正仿宋_GB2312" w:eastAsia="方正仿宋_GB2312" w:cs="方正仿宋_GB2312"/>
          <w:color w:val="auto"/>
          <w:sz w:val="28"/>
          <w:szCs w:val="28"/>
          <w:lang w:val="en-US" w:eastAsia="zh-CN"/>
        </w:rPr>
        <w:t xml:space="preserve"> </w:t>
      </w:r>
      <w:r>
        <w:rPr>
          <w:rFonts w:hint="default" w:ascii="方正仿宋_GB2312" w:hAnsi="方正仿宋_GB2312" w:eastAsia="方正仿宋_GB2312" w:cs="方正仿宋_GB2312"/>
          <w:color w:val="auto"/>
          <w:sz w:val="28"/>
          <w:szCs w:val="28"/>
          <w:lang w:val="en-US" w:eastAsia="zh-CN"/>
        </w:rPr>
        <w:drawing>
          <wp:inline distT="0" distB="0" distL="114300" distR="114300">
            <wp:extent cx="2520315" cy="1908175"/>
            <wp:effectExtent l="0" t="0" r="3810" b="6350"/>
            <wp:docPr id="4" name="图片 4" descr="3a096160b62accd23b355fd6fa949d5"/>
            <wp:cNvGraphicFramePr/>
            <a:graphic xmlns:a="http://schemas.openxmlformats.org/drawingml/2006/main">
              <a:graphicData uri="http://schemas.openxmlformats.org/drawingml/2006/picture">
                <pic:pic xmlns:pic="http://schemas.openxmlformats.org/drawingml/2006/picture">
                  <pic:nvPicPr>
                    <pic:cNvPr id="4" name="图片 4" descr="3a096160b62accd23b355fd6fa949d5"/>
                    <pic:cNvPicPr/>
                  </pic:nvPicPr>
                  <pic:blipFill>
                    <a:blip r:embed="rId7"/>
                    <a:stretch>
                      <a:fillRect/>
                    </a:stretch>
                  </pic:blipFill>
                  <pic:spPr>
                    <a:xfrm>
                      <a:off x="0" y="0"/>
                      <a:ext cx="2520315" cy="1908175"/>
                    </a:xfrm>
                    <a:prstGeom prst="rect">
                      <a:avLst/>
                    </a:prstGeom>
                  </pic:spPr>
                </pic:pic>
              </a:graphicData>
            </a:graphic>
          </wp:inline>
        </w:drawing>
      </w:r>
    </w:p>
    <w:p w14:paraId="4DC6D8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0" w:firstLineChars="200"/>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2.校外实训基地</w:t>
      </w:r>
    </w:p>
    <w:p w14:paraId="2D2259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 </w:t>
      </w:r>
      <w:r>
        <w:rPr>
          <w:rFonts w:hint="eastAsia" w:ascii="楷体_GB2312" w:hAnsi="楷体_GB2312" w:eastAsia="楷体_GB2312" w:cs="楷体_GB2312"/>
          <w:color w:val="auto"/>
          <w:sz w:val="24"/>
          <w:szCs w:val="24"/>
          <w:lang w:val="en-US" w:eastAsia="zh-CN"/>
        </w:rPr>
        <w:t xml:space="preserve">   学校注重学生实践操作能力的培养和实践经验的积累，最后一年学生在宠物诊疗机构进行理论联系实际的岗位实训实习，培养学生沟通能力、操作能力、协作能力和解决问题能力，提高学生精益求精的工匠精神和爱岗敬业的职业精神。</w:t>
      </w:r>
    </w:p>
    <w:p w14:paraId="38A964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楷体_GB2312" w:hAnsi="楷体_GB2312" w:eastAsia="楷体_GB2312" w:cs="楷体_GB2312"/>
          <w:color w:val="auto"/>
          <w:sz w:val="24"/>
          <w:szCs w:val="24"/>
        </w:rPr>
      </w:pPr>
      <w:r>
        <w:rPr>
          <w:rStyle w:val="6"/>
          <w:rFonts w:hint="eastAsia" w:ascii="楷体_GB2312" w:hAnsi="楷体_GB2312" w:eastAsia="楷体_GB2312" w:cs="楷体_GB2312"/>
          <w:color w:val="auto"/>
          <w:sz w:val="24"/>
          <w:szCs w:val="24"/>
        </w:rPr>
        <w:t>六、学历提升</w:t>
      </w:r>
    </w:p>
    <w:p w14:paraId="5B6FAA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 </w:t>
      </w:r>
      <w:r>
        <w:rPr>
          <w:rFonts w:hint="eastAsia" w:ascii="楷体_GB2312" w:hAnsi="楷体_GB2312" w:eastAsia="楷体_GB2312" w:cs="楷体_GB2312"/>
          <w:color w:val="auto"/>
          <w:sz w:val="24"/>
          <w:szCs w:val="24"/>
          <w:lang w:val="en-US" w:eastAsia="zh-CN"/>
        </w:rPr>
        <w:t xml:space="preserve">    </w:t>
      </w:r>
      <w:r>
        <w:rPr>
          <w:rFonts w:hint="eastAsia" w:ascii="楷体_GB2312" w:hAnsi="楷体_GB2312" w:eastAsia="楷体_GB2312" w:cs="楷体_GB2312"/>
          <w:color w:val="auto"/>
          <w:sz w:val="24"/>
          <w:szCs w:val="24"/>
        </w:rPr>
        <w:t>学生毕业当年，可根据当年度国家教育部和山东省教育厅发布的专升本专业目录通知，报考养</w:t>
      </w:r>
      <w:r>
        <w:rPr>
          <w:rFonts w:hint="eastAsia" w:ascii="楷体_GB2312" w:hAnsi="楷体_GB2312" w:eastAsia="楷体_GB2312" w:cs="楷体_GB2312"/>
          <w:kern w:val="0"/>
          <w:sz w:val="24"/>
          <w:szCs w:val="24"/>
        </w:rPr>
        <w:t>动物科学</w:t>
      </w:r>
      <w:r>
        <w:rPr>
          <w:rFonts w:hint="eastAsia" w:ascii="楷体_GB2312" w:hAnsi="楷体_GB2312" w:eastAsia="楷体_GB2312" w:cs="楷体_GB2312"/>
          <w:kern w:val="0"/>
          <w:sz w:val="24"/>
          <w:szCs w:val="24"/>
          <w:lang w:eastAsia="zh-CN"/>
        </w:rPr>
        <w:t>、</w:t>
      </w:r>
      <w:r>
        <w:rPr>
          <w:rFonts w:hint="eastAsia" w:ascii="楷体_GB2312" w:hAnsi="楷体_GB2312" w:eastAsia="楷体_GB2312" w:cs="楷体_GB2312"/>
          <w:kern w:val="0"/>
          <w:sz w:val="24"/>
          <w:szCs w:val="24"/>
          <w:lang w:val="en-US" w:eastAsia="zh-CN"/>
        </w:rPr>
        <w:t>动物医学</w:t>
      </w:r>
      <w:r>
        <w:rPr>
          <w:rFonts w:hint="eastAsia" w:ascii="楷体_GB2312" w:hAnsi="楷体_GB2312" w:eastAsia="楷体_GB2312" w:cs="楷体_GB2312"/>
          <w:color w:val="auto"/>
          <w:sz w:val="24"/>
          <w:szCs w:val="24"/>
        </w:rPr>
        <w:t>等相关专业，参加全省统一的专升本考试。专升本毕业的学生，第一学历为本科学历。</w:t>
      </w:r>
    </w:p>
    <w:p w14:paraId="013C2D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楷体_GB2312" w:hAnsi="楷体_GB2312" w:eastAsia="楷体_GB2312" w:cs="楷体_GB2312"/>
          <w:color w:val="auto"/>
          <w:sz w:val="24"/>
          <w:szCs w:val="24"/>
        </w:rPr>
      </w:pPr>
      <w:r>
        <w:rPr>
          <w:rStyle w:val="6"/>
          <w:rFonts w:hint="eastAsia" w:ascii="楷体_GB2312" w:hAnsi="楷体_GB2312" w:eastAsia="楷体_GB2312" w:cs="楷体_GB2312"/>
          <w:color w:val="auto"/>
          <w:sz w:val="24"/>
          <w:szCs w:val="24"/>
        </w:rPr>
        <w:t>七、实习与就业</w:t>
      </w:r>
    </w:p>
    <w:p w14:paraId="064412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0" w:firstLineChars="200"/>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1.校外实习基地</w:t>
      </w:r>
    </w:p>
    <w:p w14:paraId="0AF54E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0" w:firstLineChars="200"/>
        <w:jc w:val="left"/>
        <w:rPr>
          <w:rFonts w:hint="eastAsia" w:ascii="楷体_GB2312" w:hAnsi="楷体_GB2312" w:eastAsia="楷体_GB2312" w:cs="楷体_GB2312"/>
          <w:color w:val="auto"/>
          <w:kern w:val="0"/>
          <w:sz w:val="24"/>
          <w:szCs w:val="24"/>
          <w:lang w:bidi="ar"/>
        </w:rPr>
      </w:pPr>
      <w:r>
        <w:rPr>
          <w:rFonts w:hint="eastAsia" w:ascii="楷体_GB2312" w:hAnsi="楷体_GB2312" w:eastAsia="楷体_GB2312" w:cs="楷体_GB2312"/>
          <w:color w:val="auto"/>
          <w:kern w:val="0"/>
          <w:sz w:val="24"/>
          <w:szCs w:val="24"/>
          <w:lang w:bidi="ar"/>
        </w:rPr>
        <w:t>学院位于</w:t>
      </w:r>
      <w:r>
        <w:rPr>
          <w:rFonts w:hint="eastAsia" w:ascii="楷体_GB2312" w:hAnsi="楷体_GB2312" w:eastAsia="楷体_GB2312" w:cs="楷体_GB2312"/>
          <w:color w:val="auto"/>
          <w:kern w:val="0"/>
          <w:sz w:val="24"/>
          <w:szCs w:val="24"/>
          <w:lang w:val="en-US" w:eastAsia="zh-CN" w:bidi="ar"/>
        </w:rPr>
        <w:t>山东</w:t>
      </w:r>
      <w:r>
        <w:rPr>
          <w:rFonts w:hint="eastAsia" w:ascii="楷体_GB2312" w:hAnsi="楷体_GB2312" w:eastAsia="楷体_GB2312" w:cs="楷体_GB2312"/>
          <w:color w:val="auto"/>
          <w:kern w:val="0"/>
          <w:sz w:val="24"/>
          <w:szCs w:val="24"/>
          <w:lang w:bidi="ar"/>
        </w:rPr>
        <w:t>省会城市济南，实习条件极为优越。</w:t>
      </w:r>
      <w:r>
        <w:rPr>
          <w:rFonts w:hint="eastAsia" w:ascii="楷体_GB2312" w:hAnsi="楷体_GB2312" w:eastAsia="楷体_GB2312" w:cs="楷体_GB2312"/>
          <w:color w:val="auto"/>
          <w:sz w:val="24"/>
          <w:szCs w:val="24"/>
          <w:lang w:val="en-US" w:eastAsia="zh-CN"/>
        </w:rPr>
        <w:t>学校与省内多家</w:t>
      </w:r>
      <w:r>
        <w:rPr>
          <w:rFonts w:hint="eastAsia" w:ascii="楷体_GB2312" w:hAnsi="楷体_GB2312" w:eastAsia="楷体_GB2312" w:cs="楷体_GB2312"/>
          <w:color w:val="auto"/>
          <w:sz w:val="24"/>
          <w:szCs w:val="24"/>
        </w:rPr>
        <w:t>宠物医院、宠物诊所等单位</w:t>
      </w:r>
      <w:r>
        <w:rPr>
          <w:rFonts w:hint="eastAsia" w:ascii="楷体_GB2312" w:hAnsi="楷体_GB2312" w:eastAsia="楷体_GB2312" w:cs="楷体_GB2312"/>
          <w:color w:val="auto"/>
          <w:sz w:val="24"/>
          <w:szCs w:val="24"/>
          <w:lang w:val="en-US" w:eastAsia="zh-CN"/>
        </w:rPr>
        <w:t>签订实践教学合作基地协议，学生在宠物医院、宠物诊所，学生通过岗位实习，接触实际病例，参与宠物医疗服务的重要环节，如接诊、诊断、治疗、护理等，全面提升自己的专业能力和职业素养，学生</w:t>
      </w:r>
      <w:r>
        <w:rPr>
          <w:rFonts w:hint="eastAsia" w:ascii="楷体_GB2312" w:hAnsi="楷体_GB2312" w:eastAsia="楷体_GB2312" w:cs="楷体_GB2312"/>
          <w:color w:val="auto"/>
          <w:kern w:val="0"/>
          <w:sz w:val="24"/>
          <w:szCs w:val="24"/>
          <w:lang w:bidi="ar"/>
        </w:rPr>
        <w:t>在实习期间</w:t>
      </w:r>
      <w:r>
        <w:rPr>
          <w:rFonts w:hint="eastAsia" w:ascii="楷体_GB2312" w:hAnsi="楷体_GB2312" w:eastAsia="楷体_GB2312" w:cs="楷体_GB2312"/>
          <w:color w:val="auto"/>
          <w:kern w:val="0"/>
          <w:sz w:val="24"/>
          <w:szCs w:val="24"/>
          <w:lang w:val="en-US" w:eastAsia="zh-CN" w:bidi="ar"/>
        </w:rPr>
        <w:t>就</w:t>
      </w:r>
      <w:r>
        <w:rPr>
          <w:rFonts w:hint="eastAsia" w:ascii="楷体_GB2312" w:hAnsi="楷体_GB2312" w:eastAsia="楷体_GB2312" w:cs="楷体_GB2312"/>
          <w:color w:val="auto"/>
          <w:kern w:val="0"/>
          <w:sz w:val="24"/>
          <w:szCs w:val="24"/>
          <w:lang w:bidi="ar"/>
        </w:rPr>
        <w:t>能获得宝贵的工作经验，为</w:t>
      </w:r>
      <w:r>
        <w:rPr>
          <w:rFonts w:hint="eastAsia" w:ascii="楷体_GB2312" w:hAnsi="楷体_GB2312" w:eastAsia="楷体_GB2312" w:cs="楷体_GB2312"/>
          <w:color w:val="auto"/>
          <w:kern w:val="0"/>
          <w:sz w:val="24"/>
          <w:szCs w:val="24"/>
          <w:lang w:val="en-US" w:eastAsia="zh-CN" w:bidi="ar"/>
        </w:rPr>
        <w:t>其</w:t>
      </w:r>
      <w:r>
        <w:rPr>
          <w:rFonts w:hint="eastAsia" w:ascii="楷体_GB2312" w:hAnsi="楷体_GB2312" w:eastAsia="楷体_GB2312" w:cs="楷体_GB2312"/>
          <w:color w:val="auto"/>
          <w:kern w:val="0"/>
          <w:sz w:val="24"/>
          <w:szCs w:val="24"/>
          <w:lang w:bidi="ar"/>
        </w:rPr>
        <w:t>未来职业生涯打下坚实基础。</w:t>
      </w:r>
    </w:p>
    <w:p w14:paraId="4F8AEE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default" w:ascii="方正仿宋_GB2312" w:hAnsi="方正仿宋_GB2312" w:eastAsia="方正仿宋_GB2312" w:cs="方正仿宋_GB2312"/>
          <w:color w:val="auto"/>
          <w:sz w:val="28"/>
          <w:szCs w:val="28"/>
          <w:lang w:val="en-US" w:eastAsia="zh-CN"/>
        </w:rPr>
      </w:pPr>
      <w:r>
        <w:rPr>
          <w:rFonts w:hint="eastAsia" w:ascii="方正仿宋_GB2312" w:hAnsi="方正仿宋_GB2312" w:eastAsia="方正仿宋_GB2312" w:cs="方正仿宋_GB2312"/>
          <w:color w:val="auto"/>
          <w:sz w:val="28"/>
          <w:szCs w:val="28"/>
          <w:lang w:eastAsia="zh-CN"/>
        </w:rPr>
        <w:drawing>
          <wp:inline distT="0" distB="0" distL="114300" distR="114300">
            <wp:extent cx="2520315" cy="1908175"/>
            <wp:effectExtent l="0" t="0" r="3810" b="6350"/>
            <wp:docPr id="7" name="图片 7" descr="eaebd72f01009dbc8088653fef44d4c"/>
            <wp:cNvGraphicFramePr/>
            <a:graphic xmlns:a="http://schemas.openxmlformats.org/drawingml/2006/main">
              <a:graphicData uri="http://schemas.openxmlformats.org/drawingml/2006/picture">
                <pic:pic xmlns:pic="http://schemas.openxmlformats.org/drawingml/2006/picture">
                  <pic:nvPicPr>
                    <pic:cNvPr id="7" name="图片 7" descr="eaebd72f01009dbc8088653fef44d4c"/>
                    <pic:cNvPicPr/>
                  </pic:nvPicPr>
                  <pic:blipFill>
                    <a:blip r:embed="rId8"/>
                    <a:stretch>
                      <a:fillRect/>
                    </a:stretch>
                  </pic:blipFill>
                  <pic:spPr>
                    <a:xfrm>
                      <a:off x="0" y="0"/>
                      <a:ext cx="2520315" cy="1908175"/>
                    </a:xfrm>
                    <a:prstGeom prst="rect">
                      <a:avLst/>
                    </a:prstGeom>
                  </pic:spPr>
                </pic:pic>
              </a:graphicData>
            </a:graphic>
          </wp:inline>
        </w:drawing>
      </w:r>
      <w:r>
        <w:rPr>
          <w:rFonts w:hint="eastAsia" w:ascii="方正仿宋_GB2312" w:hAnsi="方正仿宋_GB2312" w:eastAsia="方正仿宋_GB2312" w:cs="方正仿宋_GB2312"/>
          <w:color w:val="auto"/>
          <w:sz w:val="28"/>
          <w:szCs w:val="28"/>
          <w:lang w:val="en-US" w:eastAsia="zh-CN"/>
        </w:rPr>
        <w:t xml:space="preserve"> </w:t>
      </w:r>
      <w:r>
        <w:rPr>
          <w:rFonts w:hint="default" w:ascii="方正仿宋_GB2312" w:hAnsi="方正仿宋_GB2312" w:eastAsia="方正仿宋_GB2312" w:cs="方正仿宋_GB2312"/>
          <w:color w:val="auto"/>
          <w:sz w:val="28"/>
          <w:szCs w:val="28"/>
          <w:lang w:val="en-US" w:eastAsia="zh-CN"/>
        </w:rPr>
        <w:drawing>
          <wp:inline distT="0" distB="0" distL="114300" distR="114300">
            <wp:extent cx="2520315" cy="1908175"/>
            <wp:effectExtent l="0" t="0" r="3810" b="6350"/>
            <wp:docPr id="8" name="图片 8" descr="27753d1e8417675205572857d4ef6c8"/>
            <wp:cNvGraphicFramePr/>
            <a:graphic xmlns:a="http://schemas.openxmlformats.org/drawingml/2006/main">
              <a:graphicData uri="http://schemas.openxmlformats.org/drawingml/2006/picture">
                <pic:pic xmlns:pic="http://schemas.openxmlformats.org/drawingml/2006/picture">
                  <pic:nvPicPr>
                    <pic:cNvPr id="8" name="图片 8" descr="27753d1e8417675205572857d4ef6c8"/>
                    <pic:cNvPicPr/>
                  </pic:nvPicPr>
                  <pic:blipFill>
                    <a:blip r:embed="rId9"/>
                    <a:stretch>
                      <a:fillRect/>
                    </a:stretch>
                  </pic:blipFill>
                  <pic:spPr>
                    <a:xfrm>
                      <a:off x="0" y="0"/>
                      <a:ext cx="2520315" cy="1908175"/>
                    </a:xfrm>
                    <a:prstGeom prst="rect">
                      <a:avLst/>
                    </a:prstGeom>
                  </pic:spPr>
                </pic:pic>
              </a:graphicData>
            </a:graphic>
          </wp:inline>
        </w:drawing>
      </w:r>
    </w:p>
    <w:p w14:paraId="0F8FBC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default" w:ascii="方正仿宋_GB2312" w:hAnsi="方正仿宋_GB2312" w:cs="方正仿宋_GB2312" w:eastAsiaTheme="minorEastAsia"/>
          <w:color w:val="auto"/>
          <w:sz w:val="28"/>
          <w:szCs w:val="28"/>
          <w:lang w:val="en-US" w:eastAsia="zh-CN"/>
        </w:rPr>
      </w:pPr>
      <w:r>
        <w:drawing>
          <wp:inline distT="0" distB="0" distL="114300" distR="114300">
            <wp:extent cx="2520315" cy="1908175"/>
            <wp:effectExtent l="0" t="0" r="3810" b="6350"/>
            <wp:docPr id="9" name="图片 2"/>
            <wp:cNvGraphicFramePr/>
            <a:graphic xmlns:a="http://schemas.openxmlformats.org/drawingml/2006/main">
              <a:graphicData uri="http://schemas.openxmlformats.org/drawingml/2006/picture">
                <pic:pic xmlns:pic="http://schemas.openxmlformats.org/drawingml/2006/picture">
                  <pic:nvPicPr>
                    <pic:cNvPr id="9" name="图片 2"/>
                    <pic:cNvPicPr/>
                  </pic:nvPicPr>
                  <pic:blipFill>
                    <a:blip r:embed="rId10"/>
                    <a:stretch>
                      <a:fillRect/>
                    </a:stretch>
                  </pic:blipFill>
                  <pic:spPr>
                    <a:xfrm>
                      <a:off x="0" y="0"/>
                      <a:ext cx="2520315" cy="1908175"/>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2520315" cy="1908175"/>
            <wp:effectExtent l="0" t="0" r="3810" b="6350"/>
            <wp:docPr id="10" name="图片 5"/>
            <wp:cNvGraphicFramePr/>
            <a:graphic xmlns:a="http://schemas.openxmlformats.org/drawingml/2006/main">
              <a:graphicData uri="http://schemas.openxmlformats.org/drawingml/2006/picture">
                <pic:pic xmlns:pic="http://schemas.openxmlformats.org/drawingml/2006/picture">
                  <pic:nvPicPr>
                    <pic:cNvPr id="10" name="图片 5"/>
                    <pic:cNvPicPr/>
                  </pic:nvPicPr>
                  <pic:blipFill>
                    <a:blip r:embed="rId11"/>
                    <a:stretch>
                      <a:fillRect/>
                    </a:stretch>
                  </pic:blipFill>
                  <pic:spPr>
                    <a:xfrm>
                      <a:off x="0" y="0"/>
                      <a:ext cx="2520315" cy="1908175"/>
                    </a:xfrm>
                    <a:prstGeom prst="rect">
                      <a:avLst/>
                    </a:prstGeom>
                    <a:noFill/>
                    <a:ln w="9525">
                      <a:noFill/>
                    </a:ln>
                  </pic:spPr>
                </pic:pic>
              </a:graphicData>
            </a:graphic>
          </wp:inline>
        </w:drawing>
      </w:r>
    </w:p>
    <w:p w14:paraId="1ED35D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560" w:firstLineChars="200"/>
        <w:jc w:val="left"/>
        <w:rPr>
          <w:rFonts w:hint="eastAsia" w:ascii="方正仿宋_GB2312" w:hAnsi="方正仿宋_GB2312" w:eastAsia="方正仿宋_GB2312" w:cs="方正仿宋_GB2312"/>
          <w:color w:val="auto"/>
          <w:kern w:val="0"/>
          <w:sz w:val="28"/>
          <w:szCs w:val="28"/>
          <w:lang w:eastAsia="zh-CN" w:bidi="ar"/>
        </w:rPr>
      </w:pPr>
    </w:p>
    <w:p w14:paraId="3D161F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0" w:firstLineChars="200"/>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2.就业方向</w:t>
      </w:r>
    </w:p>
    <w:p w14:paraId="38CA714B">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0" w:firstLineChars="200"/>
        <w:jc w:val="left"/>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主要面向</w:t>
      </w:r>
      <w:r>
        <w:rPr>
          <w:rFonts w:hint="eastAsia" w:ascii="楷体_GB2312" w:hAnsi="楷体_GB2312" w:eastAsia="楷体_GB2312" w:cs="楷体_GB2312"/>
          <w:color w:val="auto"/>
          <w:sz w:val="24"/>
          <w:szCs w:val="24"/>
          <w:lang w:val="en-US" w:eastAsia="zh-CN"/>
        </w:rPr>
        <w:t>宠物诊疗机构宠物普通病诊断与治疗、疫情防控、美容护理和宠物诊疗机构经营等</w:t>
      </w:r>
      <w:r>
        <w:rPr>
          <w:rFonts w:hint="eastAsia" w:ascii="楷体_GB2312" w:hAnsi="楷体_GB2312" w:eastAsia="楷体_GB2312" w:cs="楷体_GB2312"/>
          <w:color w:val="auto"/>
          <w:sz w:val="24"/>
          <w:szCs w:val="24"/>
        </w:rPr>
        <w:t>工作</w:t>
      </w:r>
      <w:r>
        <w:rPr>
          <w:rFonts w:hint="eastAsia" w:ascii="楷体_GB2312" w:hAnsi="楷体_GB2312" w:eastAsia="楷体_GB2312" w:cs="楷体_GB2312"/>
          <w:color w:val="auto"/>
          <w:sz w:val="24"/>
          <w:szCs w:val="24"/>
          <w:lang w:val="en-US" w:eastAsia="zh-CN"/>
        </w:rPr>
        <w:t>岗位</w:t>
      </w:r>
      <w:r>
        <w:rPr>
          <w:rFonts w:hint="eastAsia" w:ascii="楷体_GB2312" w:hAnsi="楷体_GB2312" w:eastAsia="楷体_GB2312" w:cs="楷体_GB2312"/>
          <w:color w:val="auto"/>
          <w:sz w:val="24"/>
          <w:szCs w:val="24"/>
        </w:rPr>
        <w:t>。</w:t>
      </w:r>
    </w:p>
    <w:p w14:paraId="06A0D8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0" w:firstLineChars="200"/>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3.学生就业</w:t>
      </w:r>
    </w:p>
    <w:p w14:paraId="167D35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0" w:firstLineChars="200"/>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宠物医疗技术专业的毕业生就业前景广阔，随着养宠人数增多，宠物在家庭中的地位越发重要，宠物经济也蓬勃发展，对宠物医疗服务的人才需求也在不断增长。</w:t>
      </w:r>
    </w:p>
    <w:p w14:paraId="47B176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0" w:firstLineChars="200"/>
        <w:rPr>
          <w:rFonts w:hint="eastAsia" w:ascii="楷体_GB2312" w:hAnsi="楷体_GB2312" w:eastAsia="楷体_GB2312" w:cs="楷体_GB2312"/>
          <w:color w:val="auto"/>
          <w:sz w:val="24"/>
          <w:szCs w:val="24"/>
        </w:rPr>
      </w:pPr>
      <w:r>
        <w:rPr>
          <w:rFonts w:hint="eastAsia" w:ascii="楷体_GB2312" w:hAnsi="楷体_GB2312" w:eastAsia="楷体_GB2312" w:cs="楷体_GB2312"/>
          <w:sz w:val="24"/>
          <w:szCs w:val="24"/>
        </w:rPr>
        <w:t>学生可以从事宠物诊疗服务，也可在宠物诊疗机构经营管理、宠物食品、宠物用品、宠物寄养等岗位发挥专业特长。</w:t>
      </w:r>
    </w:p>
    <w:p w14:paraId="15A74E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楷体_GB2312" w:hAnsi="楷体_GB2312" w:eastAsia="楷体_GB2312" w:cs="楷体_GB2312"/>
          <w:color w:val="auto"/>
          <w:sz w:val="24"/>
          <w:szCs w:val="24"/>
        </w:rPr>
      </w:pPr>
      <w:r>
        <w:rPr>
          <w:rStyle w:val="6"/>
          <w:rFonts w:hint="eastAsia" w:ascii="楷体_GB2312" w:hAnsi="楷体_GB2312" w:eastAsia="楷体_GB2312" w:cs="楷体_GB2312"/>
          <w:color w:val="auto"/>
          <w:sz w:val="24"/>
          <w:szCs w:val="24"/>
        </w:rPr>
        <w:t>八、丰富多彩的专业文化活动</w:t>
      </w:r>
    </w:p>
    <w:p w14:paraId="46989D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0" w:firstLineChars="200"/>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lang w:val="en-US" w:eastAsia="zh-CN"/>
        </w:rPr>
        <w:t>学院举办</w:t>
      </w:r>
      <w:r>
        <w:rPr>
          <w:rFonts w:hint="eastAsia" w:ascii="楷体_GB2312" w:hAnsi="楷体_GB2312" w:eastAsia="楷体_GB2312" w:cs="楷体_GB2312"/>
          <w:color w:val="auto"/>
          <w:sz w:val="24"/>
          <w:szCs w:val="24"/>
        </w:rPr>
        <w:t>各类专业</w:t>
      </w:r>
      <w:r>
        <w:rPr>
          <w:rFonts w:hint="eastAsia" w:ascii="楷体_GB2312" w:hAnsi="楷体_GB2312" w:eastAsia="楷体_GB2312" w:cs="楷体_GB2312"/>
          <w:color w:val="auto"/>
          <w:sz w:val="24"/>
          <w:szCs w:val="24"/>
          <w:lang w:val="en-US" w:eastAsia="zh-CN"/>
        </w:rPr>
        <w:t>文化</w:t>
      </w:r>
      <w:r>
        <w:rPr>
          <w:rFonts w:hint="eastAsia" w:ascii="楷体_GB2312" w:hAnsi="楷体_GB2312" w:eastAsia="楷体_GB2312" w:cs="楷体_GB2312"/>
          <w:color w:val="auto"/>
          <w:sz w:val="24"/>
          <w:szCs w:val="24"/>
        </w:rPr>
        <w:t>活动</w:t>
      </w:r>
      <w:r>
        <w:rPr>
          <w:rFonts w:hint="eastAsia" w:ascii="楷体_GB2312" w:hAnsi="楷体_GB2312" w:eastAsia="楷体_GB2312" w:cs="楷体_GB2312"/>
          <w:color w:val="auto"/>
          <w:sz w:val="24"/>
          <w:szCs w:val="24"/>
          <w:lang w:eastAsia="zh-CN"/>
        </w:rPr>
        <w:t>，</w:t>
      </w:r>
      <w:r>
        <w:rPr>
          <w:rFonts w:hint="eastAsia" w:ascii="楷体_GB2312" w:hAnsi="楷体_GB2312" w:eastAsia="楷体_GB2312" w:cs="楷体_GB2312"/>
          <w:color w:val="auto"/>
          <w:sz w:val="24"/>
          <w:szCs w:val="24"/>
        </w:rPr>
        <w:t>丰富多彩的专业活动不断提高</w:t>
      </w:r>
      <w:r>
        <w:rPr>
          <w:rFonts w:hint="eastAsia" w:ascii="楷体_GB2312" w:hAnsi="楷体_GB2312" w:eastAsia="楷体_GB2312" w:cs="楷体_GB2312"/>
          <w:color w:val="auto"/>
          <w:sz w:val="24"/>
          <w:szCs w:val="24"/>
          <w:lang w:val="en-US" w:eastAsia="zh-CN"/>
        </w:rPr>
        <w:t>宠物医疗技术</w:t>
      </w:r>
      <w:r>
        <w:rPr>
          <w:rFonts w:hint="eastAsia" w:ascii="楷体_GB2312" w:hAnsi="楷体_GB2312" w:eastAsia="楷体_GB2312" w:cs="楷体_GB2312"/>
          <w:color w:val="auto"/>
          <w:sz w:val="24"/>
          <w:szCs w:val="24"/>
        </w:rPr>
        <w:t>专业教学质量和学生职业技能水平，</w:t>
      </w:r>
      <w:r>
        <w:rPr>
          <w:rFonts w:hint="eastAsia" w:ascii="楷体_GB2312" w:hAnsi="楷体_GB2312" w:eastAsia="楷体_GB2312" w:cs="楷体_GB2312"/>
          <w:color w:val="auto"/>
          <w:sz w:val="24"/>
          <w:szCs w:val="24"/>
          <w:lang w:val="en-US" w:eastAsia="zh-CN"/>
        </w:rPr>
        <w:t>提高学生知识面，锻炼</w:t>
      </w:r>
      <w:r>
        <w:rPr>
          <w:rFonts w:hint="eastAsia" w:ascii="楷体_GB2312" w:hAnsi="楷体_GB2312" w:eastAsia="楷体_GB2312" w:cs="楷体_GB2312"/>
          <w:color w:val="auto"/>
          <w:sz w:val="24"/>
          <w:szCs w:val="24"/>
        </w:rPr>
        <w:t>学生的思维能力、动手能力和实践创新能力，丰富了学生的日常文化生活，</w:t>
      </w:r>
      <w:r>
        <w:rPr>
          <w:rFonts w:hint="eastAsia" w:ascii="楷体_GB2312" w:hAnsi="楷体_GB2312" w:eastAsia="楷体_GB2312" w:cs="楷体_GB2312"/>
          <w:color w:val="auto"/>
          <w:sz w:val="24"/>
          <w:szCs w:val="24"/>
          <w:lang w:val="en-US" w:eastAsia="zh-CN"/>
        </w:rPr>
        <w:t>扩大了学生对专业深度和行业广度的了解，</w:t>
      </w:r>
      <w:r>
        <w:rPr>
          <w:rFonts w:hint="eastAsia" w:ascii="楷体_GB2312" w:hAnsi="楷体_GB2312" w:eastAsia="楷体_GB2312" w:cs="楷体_GB2312"/>
          <w:color w:val="auto"/>
          <w:sz w:val="24"/>
          <w:szCs w:val="24"/>
        </w:rPr>
        <w:t>为学生的求学生涯增光添彩。</w:t>
      </w:r>
    </w:p>
    <w:p w14:paraId="0A8256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Pr>
          <w:rFonts w:hint="eastAsia" w:ascii="楷体_GB2312" w:hAnsi="楷体_GB2312" w:eastAsia="楷体_GB2312" w:cs="楷体_GB2312"/>
          <w:color w:val="auto"/>
          <w:sz w:val="24"/>
          <w:szCs w:val="24"/>
          <w:lang w:eastAsia="zh-CN"/>
        </w:rPr>
      </w:pPr>
      <w:r>
        <w:rPr>
          <w:rFonts w:hint="eastAsia" w:ascii="楷体_GB2312" w:hAnsi="楷体_GB2312" w:eastAsia="楷体_GB2312" w:cs="楷体_GB2312"/>
          <w:color w:val="auto"/>
          <w:sz w:val="24"/>
          <w:szCs w:val="24"/>
          <w:lang w:eastAsia="zh-CN"/>
        </w:rPr>
        <w:drawing>
          <wp:inline distT="0" distB="0" distL="114300" distR="114300">
            <wp:extent cx="2520315" cy="1908175"/>
            <wp:effectExtent l="0" t="0" r="3810" b="6350"/>
            <wp:docPr id="5" name="图片 5" descr="62f8b387ff929d8353cdb114a51d8f3"/>
            <wp:cNvGraphicFramePr/>
            <a:graphic xmlns:a="http://schemas.openxmlformats.org/drawingml/2006/main">
              <a:graphicData uri="http://schemas.openxmlformats.org/drawingml/2006/picture">
                <pic:pic xmlns:pic="http://schemas.openxmlformats.org/drawingml/2006/picture">
                  <pic:nvPicPr>
                    <pic:cNvPr id="5" name="图片 5" descr="62f8b387ff929d8353cdb114a51d8f3"/>
                    <pic:cNvPicPr/>
                  </pic:nvPicPr>
                  <pic:blipFill>
                    <a:blip r:embed="rId12"/>
                    <a:stretch>
                      <a:fillRect/>
                    </a:stretch>
                  </pic:blipFill>
                  <pic:spPr>
                    <a:xfrm>
                      <a:off x="0" y="0"/>
                      <a:ext cx="2520315" cy="1908175"/>
                    </a:xfrm>
                    <a:prstGeom prst="rect">
                      <a:avLst/>
                    </a:prstGeom>
                  </pic:spPr>
                </pic:pic>
              </a:graphicData>
            </a:graphic>
          </wp:inline>
        </w:drawing>
      </w:r>
      <w:r>
        <w:rPr>
          <w:rFonts w:hint="eastAsia" w:ascii="楷体_GB2312" w:hAnsi="楷体_GB2312" w:eastAsia="楷体_GB2312" w:cs="楷体_GB2312"/>
          <w:color w:val="auto"/>
          <w:sz w:val="24"/>
          <w:szCs w:val="24"/>
          <w:lang w:val="en-US" w:eastAsia="zh-CN"/>
        </w:rPr>
        <w:t xml:space="preserve"> </w:t>
      </w:r>
      <w:r>
        <w:rPr>
          <w:rFonts w:hint="eastAsia" w:ascii="楷体_GB2312" w:hAnsi="楷体_GB2312" w:eastAsia="楷体_GB2312" w:cs="楷体_GB2312"/>
          <w:color w:val="auto"/>
          <w:sz w:val="24"/>
          <w:szCs w:val="24"/>
          <w:lang w:eastAsia="zh-CN"/>
        </w:rPr>
        <w:drawing>
          <wp:inline distT="0" distB="0" distL="114300" distR="114300">
            <wp:extent cx="2520315" cy="1908175"/>
            <wp:effectExtent l="0" t="0" r="3810" b="6350"/>
            <wp:docPr id="6" name="图片 6" descr="932e5ea6893aa0e6bdf6d29c347ddd7"/>
            <wp:cNvGraphicFramePr/>
            <a:graphic xmlns:a="http://schemas.openxmlformats.org/drawingml/2006/main">
              <a:graphicData uri="http://schemas.openxmlformats.org/drawingml/2006/picture">
                <pic:pic xmlns:pic="http://schemas.openxmlformats.org/drawingml/2006/picture">
                  <pic:nvPicPr>
                    <pic:cNvPr id="6" name="图片 6" descr="932e5ea6893aa0e6bdf6d29c347ddd7"/>
                    <pic:cNvPicPr/>
                  </pic:nvPicPr>
                  <pic:blipFill>
                    <a:blip r:embed="rId13"/>
                    <a:stretch>
                      <a:fillRect/>
                    </a:stretch>
                  </pic:blipFill>
                  <pic:spPr>
                    <a:xfrm>
                      <a:off x="0" y="0"/>
                      <a:ext cx="2520315" cy="1908175"/>
                    </a:xfrm>
                    <a:prstGeom prst="rect">
                      <a:avLst/>
                    </a:prstGeom>
                  </pic:spPr>
                </pic:pic>
              </a:graphicData>
            </a:graphic>
          </wp:inline>
        </w:drawing>
      </w:r>
    </w:p>
    <w:p w14:paraId="178B1F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楷体_GB2312" w:hAnsi="楷体_GB2312" w:eastAsia="楷体_GB2312" w:cs="楷体_GB2312"/>
          <w:color w:val="auto"/>
          <w:sz w:val="24"/>
          <w:szCs w:val="24"/>
        </w:rPr>
      </w:pPr>
      <w:r>
        <w:rPr>
          <w:rStyle w:val="6"/>
          <w:rFonts w:hint="eastAsia" w:ascii="楷体_GB2312" w:hAnsi="楷体_GB2312" w:eastAsia="楷体_GB2312" w:cs="楷体_GB2312"/>
          <w:color w:val="auto"/>
          <w:sz w:val="24"/>
          <w:szCs w:val="24"/>
        </w:rPr>
        <w:t>九、招生政策</w:t>
      </w:r>
    </w:p>
    <w:p w14:paraId="798AEA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0" w:firstLineChars="200"/>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本专业招收全日制高中毕业生。</w:t>
      </w:r>
    </w:p>
    <w:p w14:paraId="685E44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0" w:firstLineChars="200"/>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夏季高考考生需参加山东省统一组织的文化课考试。考生按照山东省教育招生考试院高职（专科）填报志愿的时间段登录省招考院网站填报济南护理职业学院高考志愿。</w:t>
      </w:r>
    </w:p>
    <w:p w14:paraId="70DCC8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0" w:firstLineChars="200"/>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春季高考考生需参加山东省统一组织的文化考试和技能测试。考生按照山东省教育招生考试院高职（专科）填报志愿的时间段登录省招考院网站填报济南护理职业学院高考志愿。</w:t>
      </w:r>
    </w:p>
    <w:p w14:paraId="695446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楷体_GB2312" w:hAnsi="楷体_GB2312" w:eastAsia="楷体_GB2312" w:cs="楷体_GB2312"/>
          <w:color w:val="auto"/>
          <w:sz w:val="24"/>
          <w:szCs w:val="24"/>
        </w:rPr>
      </w:pPr>
      <w:r>
        <w:rPr>
          <w:rStyle w:val="6"/>
          <w:rFonts w:hint="eastAsia" w:ascii="楷体_GB2312" w:hAnsi="楷体_GB2312" w:eastAsia="楷体_GB2312" w:cs="楷体_GB2312"/>
          <w:color w:val="auto"/>
          <w:sz w:val="24"/>
          <w:szCs w:val="24"/>
        </w:rPr>
        <w:t>十、贫困生资助</w:t>
      </w:r>
    </w:p>
    <w:p w14:paraId="0CDC49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0" w:firstLineChars="200"/>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学</w:t>
      </w:r>
      <w:r>
        <w:rPr>
          <w:rFonts w:hint="eastAsia" w:ascii="楷体_GB2312" w:hAnsi="楷体_GB2312" w:eastAsia="楷体_GB2312" w:cs="楷体_GB2312"/>
          <w:color w:val="auto"/>
          <w:sz w:val="24"/>
          <w:szCs w:val="24"/>
          <w:lang w:val="en-US" w:eastAsia="zh-CN"/>
        </w:rPr>
        <w:t>院</w:t>
      </w:r>
      <w:r>
        <w:rPr>
          <w:rFonts w:hint="eastAsia" w:ascii="楷体_GB2312" w:hAnsi="楷体_GB2312" w:eastAsia="楷体_GB2312" w:cs="楷体_GB2312"/>
          <w:color w:val="auto"/>
          <w:sz w:val="24"/>
          <w:szCs w:val="24"/>
        </w:rPr>
        <w:t>通过奖、贷、助、补、免等多种资助方式帮助学生完成学业。家庭经济困难学生可申请助学贷款、“绿色通道”、奖助学金、学费减免、勤工助学等资助项目。资助条件和标准由学</w:t>
      </w:r>
      <w:r>
        <w:rPr>
          <w:rFonts w:hint="eastAsia" w:ascii="楷体_GB2312" w:hAnsi="楷体_GB2312" w:eastAsia="楷体_GB2312" w:cs="楷体_GB2312"/>
          <w:color w:val="auto"/>
          <w:sz w:val="24"/>
          <w:szCs w:val="24"/>
          <w:lang w:val="en-US" w:eastAsia="zh-CN"/>
        </w:rPr>
        <w:t>院</w:t>
      </w:r>
      <w:r>
        <w:rPr>
          <w:rFonts w:hint="eastAsia" w:ascii="楷体_GB2312" w:hAnsi="楷体_GB2312" w:eastAsia="楷体_GB2312" w:cs="楷体_GB2312"/>
          <w:color w:val="auto"/>
          <w:sz w:val="24"/>
          <w:szCs w:val="24"/>
        </w:rPr>
        <w:t>根据学生家庭经济情况，按照省财政厅、省教育厅等5部门《山东省学生资助资金管理办法》（鲁财科教〔2022〕17 号）以及学</w:t>
      </w:r>
      <w:r>
        <w:rPr>
          <w:rFonts w:hint="eastAsia" w:ascii="楷体_GB2312" w:hAnsi="楷体_GB2312" w:eastAsia="楷体_GB2312" w:cs="楷体_GB2312"/>
          <w:color w:val="auto"/>
          <w:sz w:val="24"/>
          <w:szCs w:val="24"/>
          <w:lang w:val="en-US" w:eastAsia="zh-CN"/>
        </w:rPr>
        <w:t>院</w:t>
      </w:r>
      <w:r>
        <w:rPr>
          <w:rFonts w:hint="eastAsia" w:ascii="楷体_GB2312" w:hAnsi="楷体_GB2312" w:eastAsia="楷体_GB2312" w:cs="楷体_GB2312"/>
          <w:color w:val="auto"/>
          <w:sz w:val="24"/>
          <w:szCs w:val="24"/>
        </w:rPr>
        <w:t>相关规定执行。    </w:t>
      </w:r>
    </w:p>
    <w:p w14:paraId="530B46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楷体_GB2312" w:hAnsi="楷体_GB2312" w:eastAsia="楷体_GB2312" w:cs="楷体_GB2312"/>
          <w:color w:val="auto"/>
          <w:sz w:val="24"/>
          <w:szCs w:val="24"/>
        </w:rPr>
      </w:pPr>
      <w:r>
        <w:rPr>
          <w:rStyle w:val="6"/>
          <w:rFonts w:hint="eastAsia" w:ascii="楷体_GB2312" w:hAnsi="楷体_GB2312" w:eastAsia="楷体_GB2312" w:cs="楷体_GB2312"/>
          <w:color w:val="auto"/>
          <w:sz w:val="24"/>
          <w:szCs w:val="24"/>
        </w:rPr>
        <w:t>十一、收费标准</w:t>
      </w:r>
    </w:p>
    <w:p w14:paraId="646EA13E">
      <w:pPr>
        <w:pStyle w:val="3"/>
        <w:widowControl/>
        <w:spacing w:beforeAutospacing="0" w:afterAutospacing="0" w:line="360" w:lineRule="auto"/>
        <w:ind w:firstLine="480" w:firstLineChars="200"/>
        <w:jc w:val="both"/>
        <w:rPr>
          <w:rFonts w:hint="eastAsia" w:ascii="楷体_GB2312" w:hAnsi="楷体_GB2312" w:eastAsia="楷体_GB2312" w:cs="楷体_GB2312"/>
          <w:color w:val="auto"/>
          <w:sz w:val="24"/>
          <w:szCs w:val="24"/>
          <w:shd w:val="clear" w:color="auto" w:fill="FFFFFF"/>
          <w:lang w:val="en-US" w:eastAsia="zh-CN"/>
        </w:rPr>
      </w:pPr>
      <w:r>
        <w:rPr>
          <w:rFonts w:hint="eastAsia" w:ascii="楷体_GB2312" w:hAnsi="楷体_GB2312" w:eastAsia="楷体_GB2312" w:cs="楷体_GB2312"/>
          <w:color w:val="auto"/>
          <w:sz w:val="24"/>
          <w:szCs w:val="24"/>
          <w:shd w:val="clear" w:color="auto" w:fill="FFFFFF"/>
          <w:lang w:val="en-US" w:eastAsia="zh-CN"/>
        </w:rPr>
        <w:t>学费标准按照《山东省发展和改革委员会 山东省财政厅 山东省教育厅关于规范完善高校学费收费政策的通知》(鲁发改价格〔2023〕559号)文件执行。退费按照国家和省相关规定执行。</w:t>
      </w:r>
    </w:p>
    <w:p w14:paraId="7B698F2F">
      <w:pPr>
        <w:pStyle w:val="3"/>
        <w:widowControl/>
        <w:spacing w:beforeAutospacing="0" w:afterAutospacing="0" w:line="360" w:lineRule="auto"/>
        <w:ind w:firstLine="480" w:firstLineChars="200"/>
        <w:jc w:val="both"/>
        <w:rPr>
          <w:rFonts w:hint="eastAsia" w:ascii="楷体_GB2312" w:hAnsi="楷体_GB2312" w:eastAsia="楷体_GB2312" w:cs="楷体_GB2312"/>
          <w:color w:val="auto"/>
          <w:sz w:val="24"/>
          <w:szCs w:val="24"/>
          <w:shd w:val="clear" w:color="auto" w:fill="FFFFFF"/>
          <w:lang w:val="en-US" w:eastAsia="zh-CN"/>
        </w:rPr>
      </w:pPr>
    </w:p>
    <w:p w14:paraId="08729D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楷体_GB2312" w:hAnsi="楷体_GB2312" w:eastAsia="楷体_GB2312" w:cs="楷体_GB2312"/>
          <w:color w:val="auto"/>
          <w:sz w:val="24"/>
          <w:szCs w:val="24"/>
        </w:rPr>
      </w:pPr>
      <w:r>
        <w:rPr>
          <w:rStyle w:val="6"/>
          <w:rFonts w:hint="eastAsia" w:ascii="楷体_GB2312" w:hAnsi="楷体_GB2312" w:eastAsia="楷体_GB2312" w:cs="楷体_GB2312"/>
          <w:color w:val="auto"/>
          <w:sz w:val="24"/>
          <w:szCs w:val="24"/>
        </w:rPr>
        <w:t>十二、联系方式</w:t>
      </w:r>
    </w:p>
    <w:p w14:paraId="22939E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rPr>
          <w:rFonts w:hint="eastAsia" w:ascii="楷体_GB2312" w:hAnsi="楷体_GB2312" w:eastAsia="楷体_GB2312" w:cs="楷体_GB2312"/>
          <w:color w:val="auto"/>
          <w:sz w:val="24"/>
          <w:szCs w:val="24"/>
          <w:highlight w:val="none"/>
          <w:lang w:val="en-US" w:eastAsia="zh-CN"/>
        </w:rPr>
      </w:pPr>
      <w:r>
        <w:rPr>
          <w:rFonts w:hint="eastAsia" w:ascii="楷体_GB2312" w:hAnsi="楷体_GB2312" w:eastAsia="楷体_GB2312" w:cs="楷体_GB2312"/>
          <w:color w:val="auto"/>
          <w:sz w:val="24"/>
          <w:szCs w:val="24"/>
          <w:highlight w:val="none"/>
        </w:rPr>
        <w:t>专业负责人：</w:t>
      </w:r>
      <w:r>
        <w:rPr>
          <w:rFonts w:hint="eastAsia" w:ascii="楷体_GB2312" w:hAnsi="楷体_GB2312" w:eastAsia="楷体_GB2312" w:cs="楷体_GB2312"/>
          <w:color w:val="auto"/>
          <w:sz w:val="24"/>
          <w:szCs w:val="24"/>
          <w:highlight w:val="none"/>
          <w:lang w:val="en-US" w:eastAsia="zh-CN"/>
        </w:rPr>
        <w:t>王永志  15550033389</w:t>
      </w:r>
    </w:p>
    <w:p w14:paraId="1D854F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rPr>
          <w:rFonts w:hint="eastAsia" w:ascii="楷体_GB2312" w:hAnsi="楷体_GB2312" w:eastAsia="楷体_GB2312" w:cs="楷体_GB2312"/>
          <w:color w:val="auto"/>
          <w:sz w:val="24"/>
          <w:szCs w:val="24"/>
          <w:lang w:eastAsia="zh-CN"/>
        </w:rPr>
      </w:pPr>
      <w:r>
        <w:rPr>
          <w:rFonts w:hint="eastAsia" w:ascii="楷体_GB2312" w:hAnsi="楷体_GB2312" w:eastAsia="楷体_GB2312" w:cs="楷体_GB2312"/>
          <w:color w:val="auto"/>
          <w:sz w:val="24"/>
          <w:szCs w:val="24"/>
        </w:rPr>
        <w:t>招生咨询电话：（0531）58164412、59532205、59822206</w:t>
      </w:r>
    </w:p>
    <w:p w14:paraId="6F550BF3">
      <w:pPr>
        <w:spacing w:line="360" w:lineRule="auto"/>
        <w:rPr>
          <w:rFonts w:hint="eastAsia" w:ascii="楷体_GB2312" w:hAnsi="楷体_GB2312" w:eastAsia="楷体_GB2312" w:cs="楷体_GB2312"/>
          <w:color w:val="auto"/>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embedRegular r:id="rId1" w:fontKey="{C471C51F-F62F-4635-8ED6-8CD2B02AD758}"/>
  </w:font>
  <w:font w:name="楷体_GB2312">
    <w:panose1 w:val="02010609030101010101"/>
    <w:charset w:val="86"/>
    <w:family w:val="auto"/>
    <w:pitch w:val="default"/>
    <w:sig w:usb0="00000001" w:usb1="080E0000" w:usb2="00000000" w:usb3="00000000" w:csb0="00040000" w:csb1="00000000"/>
    <w:embedRegular r:id="rId2" w:fontKey="{673D7A30-A59D-402D-9297-7CD053DA9CBA}"/>
  </w:font>
  <w:font w:name="方正仿宋_GB2312">
    <w:panose1 w:val="02000000000000000000"/>
    <w:charset w:val="86"/>
    <w:family w:val="auto"/>
    <w:pitch w:val="default"/>
    <w:sig w:usb0="A00002BF" w:usb1="184F6CFA" w:usb2="00000012" w:usb3="00000000" w:csb0="00040001" w:csb1="00000000"/>
    <w:embedRegular r:id="rId3" w:fontKey="{165357A4-0A08-4496-8C48-E3C4069EF6AF}"/>
  </w:font>
  <w:font w:name="Segoe UI Variable Display">
    <w:panose1 w:val="00000000000000000000"/>
    <w:charset w:val="00"/>
    <w:family w:val="auto"/>
    <w:pitch w:val="default"/>
    <w:sig w:usb0="A00002FF" w:usb1="0000000B" w:usb2="00000000" w:usb3="00000000" w:csb0="2000019F" w:csb1="00000000"/>
  </w:font>
  <w:font w:name="Segoe UI Historic">
    <w:panose1 w:val="020B0502040204020203"/>
    <w:charset w:val="00"/>
    <w:family w:val="auto"/>
    <w:pitch w:val="default"/>
    <w:sig w:usb0="800001EF" w:usb1="02000002" w:usb2="0060C080" w:usb3="00000002" w:csb0="00000001" w:csb1="40000000"/>
  </w:font>
  <w:font w:name="Segoe UI Variable Text Semibold">
    <w:panose1 w:val="00000000000000000000"/>
    <w:charset w:val="00"/>
    <w:family w:val="auto"/>
    <w:pitch w:val="default"/>
    <w:sig w:usb0="A00002FF" w:usb1="0000000B" w:usb2="00000000" w:usb3="00000000" w:csb0="2000019F" w:csb1="00000000"/>
  </w:font>
  <w:font w:name="Segoe UI Variable Text Light">
    <w:panose1 w:val="00000000000000000000"/>
    <w:charset w:val="00"/>
    <w:family w:val="auto"/>
    <w:pitch w:val="default"/>
    <w:sig w:usb0="A00002FF" w:usb1="0000000B" w:usb2="00000000" w:usb3="00000000" w:csb0="2000019F" w:csb1="00000000"/>
  </w:font>
  <w:font w:name="Segoe UI Black">
    <w:panose1 w:val="020B0A02040204020203"/>
    <w:charset w:val="00"/>
    <w:family w:val="auto"/>
    <w:pitch w:val="default"/>
    <w:sig w:usb0="E00002FF" w:usb1="4000E47F" w:usb2="00000021" w:usb3="00000000" w:csb0="2000019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A361B5C"/>
    <w:multiLevelType w:val="singleLevel"/>
    <w:tmpl w:val="3A361B5C"/>
    <w:lvl w:ilvl="0" w:tentative="0">
      <w:start w:val="4"/>
      <w:numFmt w:val="chineseCounting"/>
      <w:suff w:val="nothing"/>
      <w:lvlText w:val="%1、"/>
      <w:lvlJc w:val="left"/>
      <w:rPr>
        <w:rFonts w:hint="eastAsia" w:ascii="楷体" w:hAnsi="楷体" w:eastAsia="楷体" w:cs="楷体"/>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112117"/>
    <w:rsid w:val="06C613B3"/>
    <w:rsid w:val="0D062FC2"/>
    <w:rsid w:val="0D4728C2"/>
    <w:rsid w:val="10FC5E0D"/>
    <w:rsid w:val="16076D50"/>
    <w:rsid w:val="20AA31D4"/>
    <w:rsid w:val="20BB67EC"/>
    <w:rsid w:val="20F31500"/>
    <w:rsid w:val="20FC7E1E"/>
    <w:rsid w:val="27687ED9"/>
    <w:rsid w:val="29AB0441"/>
    <w:rsid w:val="2BB85700"/>
    <w:rsid w:val="2BD6635D"/>
    <w:rsid w:val="2FBC716B"/>
    <w:rsid w:val="3822692A"/>
    <w:rsid w:val="38542880"/>
    <w:rsid w:val="38AE69FB"/>
    <w:rsid w:val="4B943223"/>
    <w:rsid w:val="5AB023C5"/>
    <w:rsid w:val="6A7309EA"/>
    <w:rsid w:val="702C56A1"/>
    <w:rsid w:val="70342A6E"/>
    <w:rsid w:val="72086C48"/>
    <w:rsid w:val="77577A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1260</Words>
  <Characters>1272</Characters>
  <Lines>0</Lines>
  <Paragraphs>0</Paragraphs>
  <TotalTime>328</TotalTime>
  <ScaleCrop>false</ScaleCrop>
  <LinksUpToDate>false</LinksUpToDate>
  <CharactersWithSpaces>1300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2025-03-04T04:37:00Z</dcterms:created>
  <dc:creator>赵  健</dc:creator>
  <cp:lastModifiedBy>王永志</cp:lastModifiedBy>
  <dcterms:modified xsi:type="dcterms:W3CDTF">2025-06-13T07:14:58Z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eyJoZGlkIjoiNmJmZmQ4ZmZkNzM5YzE5N2M3M2ZkZjI3NmViZmZjMGYiLCJ1c2VySWQiOiIyODE1NjI1NzgifQ==</vt:lpwstr>
  </property>
  <property fmtid="{D5CDD505-2E9C-101B-9397-08002B2CF9AE}" pid="4" name="ICV">
    <vt:lpwstr>DEED9A5B26DE452C830F3EB318B572FF_13</vt:lpwstr>
  </property>
</Properties>
</file>